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4160A" w14:textId="6E2CAF4E" w:rsidR="000604A4" w:rsidRDefault="008C276B" w:rsidP="000604A4">
      <w:pPr>
        <w:pStyle w:val="Title"/>
      </w:pPr>
      <w:r>
        <w:t>F</w:t>
      </w:r>
      <w:r w:rsidR="000604A4" w:rsidRPr="00552CEE">
        <w:t xml:space="preserve">inancial modelling note: </w:t>
      </w:r>
      <w:r w:rsidR="00AE7374">
        <w:t>s</w:t>
      </w:r>
      <w:r w:rsidR="000604A4" w:rsidRPr="00552CEE">
        <w:t>hared ownership</w:t>
      </w:r>
    </w:p>
    <w:p w14:paraId="3435E5A1" w14:textId="3EF2DBEC" w:rsidR="00793860" w:rsidRDefault="008C276B" w:rsidP="00793860">
      <w:r w:rsidRPr="008C276B">
        <w:rPr>
          <w:b/>
          <w:bCs/>
        </w:rPr>
        <w:t xml:space="preserve">Author: </w:t>
      </w:r>
      <w:r w:rsidR="00793860">
        <w:t xml:space="preserve">Simon Gill, </w:t>
      </w:r>
      <w:hyperlink r:id="rId11" w:history="1">
        <w:r w:rsidR="00793860" w:rsidRPr="00A0526C">
          <w:rPr>
            <w:rStyle w:val="Hyperlink"/>
          </w:rPr>
          <w:t>simon@energylandscape.co.uk</w:t>
        </w:r>
      </w:hyperlink>
    </w:p>
    <w:p w14:paraId="75EC2792" w14:textId="07A18B4D" w:rsidR="008C276B" w:rsidRPr="008C276B" w:rsidRDefault="008C276B" w:rsidP="00793860">
      <w:pPr>
        <w:rPr>
          <w:b/>
          <w:bCs/>
        </w:rPr>
      </w:pPr>
      <w:r w:rsidRPr="008C276B">
        <w:rPr>
          <w:b/>
          <w:bCs/>
        </w:rPr>
        <w:t xml:space="preserve">Date: </w:t>
      </w:r>
      <w:r w:rsidRPr="008C276B">
        <w:t>May 2026</w:t>
      </w:r>
    </w:p>
    <w:p w14:paraId="23E4A663" w14:textId="5CB140EA" w:rsidR="008C276B" w:rsidRPr="008C276B" w:rsidRDefault="008C276B" w:rsidP="00793860">
      <w:pPr>
        <w:rPr>
          <w:i/>
          <w:iCs/>
        </w:rPr>
      </w:pPr>
      <w:r>
        <w:rPr>
          <w:i/>
          <w:iCs/>
        </w:rPr>
        <w:t>This note summarises modelling undertaken by Dr. Simon Gill on behalf of Regen to support the project ‘</w:t>
      </w:r>
      <w:r w:rsidRPr="008C276B">
        <w:rPr>
          <w:i/>
          <w:iCs/>
        </w:rPr>
        <w:t>Investigating shared ownership to fund community climate action through the Climate Hubs</w:t>
      </w:r>
      <w:r>
        <w:rPr>
          <w:i/>
          <w:iCs/>
        </w:rPr>
        <w:t>’</w:t>
      </w:r>
    </w:p>
    <w:p w14:paraId="60F26985" w14:textId="431A9236" w:rsidR="000604A4" w:rsidRPr="00552CEE" w:rsidRDefault="000604A4" w:rsidP="000604A4">
      <w:pPr>
        <w:pStyle w:val="Heading1"/>
      </w:pPr>
      <w:r w:rsidRPr="00552CEE">
        <w:t xml:space="preserve">Introduction </w:t>
      </w:r>
    </w:p>
    <w:p w14:paraId="4A517BBA" w14:textId="672B6D6A" w:rsidR="000604A4" w:rsidRPr="00552CEE" w:rsidRDefault="000604A4" w:rsidP="000604A4">
      <w:pPr>
        <w:pStyle w:val="Heading2"/>
      </w:pPr>
      <w:r w:rsidRPr="00552CEE">
        <w:t>Objective of the project</w:t>
      </w:r>
    </w:p>
    <w:p w14:paraId="23F108E4" w14:textId="6C66D01A" w:rsidR="00C666DB" w:rsidRPr="00552CEE" w:rsidRDefault="00C666DB" w:rsidP="00C666DB">
      <w:r w:rsidRPr="00552CEE">
        <w:t xml:space="preserve">ClimateHubs have asked Regen to lead a project exploring the potential for shared ownership </w:t>
      </w:r>
      <w:r w:rsidR="00830826">
        <w:t xml:space="preserve">(SO) </w:t>
      </w:r>
      <w:r w:rsidRPr="00552CEE">
        <w:t>of renewable generation to provide future funding for the ClimateHubs programme.</w:t>
      </w:r>
      <w:r w:rsidR="00662968">
        <w:t xml:space="preserve"> </w:t>
      </w:r>
      <w:r w:rsidRPr="00552CEE">
        <w:t>For the purposes of this project, shared ownership means a not-for-profit organisation acquiring an equity stake in a generation as</w:t>
      </w:r>
      <w:r w:rsidR="00EE5B2D" w:rsidRPr="00552CEE">
        <w:t>set</w:t>
      </w:r>
      <w:r w:rsidRPr="00552CEE">
        <w:t>.</w:t>
      </w:r>
    </w:p>
    <w:p w14:paraId="3A45BAF5" w14:textId="72284A93" w:rsidR="000604A4" w:rsidRPr="00552CEE" w:rsidRDefault="000604A4" w:rsidP="000604A4">
      <w:pPr>
        <w:pStyle w:val="Heading2"/>
      </w:pPr>
      <w:r w:rsidRPr="00552CEE">
        <w:t>Objective of the modelling</w:t>
      </w:r>
    </w:p>
    <w:p w14:paraId="3859C821" w14:textId="62AD0D09" w:rsidR="005339D0" w:rsidRPr="00552CEE" w:rsidRDefault="00040069" w:rsidP="005339D0">
      <w:r w:rsidRPr="00552CEE">
        <w:t>T</w:t>
      </w:r>
      <w:r w:rsidR="005339D0" w:rsidRPr="00552CEE">
        <w:t>he financial modelling element of the project aims to illustrate the potential monetary flows that could accrue to ClimateHubs from a</w:t>
      </w:r>
      <w:r w:rsidR="00433E09" w:rsidRPr="00552CEE">
        <w:t>n</w:t>
      </w:r>
      <w:r w:rsidR="005339D0" w:rsidRPr="00552CEE">
        <w:t xml:space="preserve"> investment in </w:t>
      </w:r>
      <w:r w:rsidR="000A3C52">
        <w:t xml:space="preserve">renewable </w:t>
      </w:r>
      <w:r w:rsidR="007F6BC6">
        <w:t>generation</w:t>
      </w:r>
      <w:r w:rsidR="000A3C52">
        <w:t xml:space="preserve"> </w:t>
      </w:r>
      <w:r w:rsidR="00433E09" w:rsidRPr="00552CEE">
        <w:t xml:space="preserve">made in the </w:t>
      </w:r>
      <w:r w:rsidR="005339D0" w:rsidRPr="00552CEE">
        <w:t>next few years.</w:t>
      </w:r>
    </w:p>
    <w:p w14:paraId="4B6B15C2" w14:textId="62E9F078" w:rsidR="00EA32BC" w:rsidRPr="00552CEE" w:rsidRDefault="00EA32BC" w:rsidP="005339D0">
      <w:r w:rsidRPr="00552CEE">
        <w:t xml:space="preserve">Note that </w:t>
      </w:r>
      <w:r w:rsidR="000A3C52">
        <w:t xml:space="preserve">the modelling </w:t>
      </w:r>
      <w:r w:rsidRPr="00552CEE">
        <w:t>i</w:t>
      </w:r>
      <w:r w:rsidR="00BF1ACD">
        <w:t>s</w:t>
      </w:r>
      <w:r w:rsidRPr="00552CEE">
        <w:t xml:space="preserve"> </w:t>
      </w:r>
      <w:r w:rsidRPr="00552CEE">
        <w:rPr>
          <w:b/>
          <w:bCs/>
        </w:rPr>
        <w:t xml:space="preserve">illustrative </w:t>
      </w:r>
      <w:r w:rsidRPr="00552CEE">
        <w:t xml:space="preserve">and is based on </w:t>
      </w:r>
      <w:r w:rsidR="000A3C52">
        <w:t xml:space="preserve">typical </w:t>
      </w:r>
      <w:r w:rsidRPr="00552CEE">
        <w:t>project</w:t>
      </w:r>
      <w:r w:rsidR="000A3C52">
        <w:t>s</w:t>
      </w:r>
      <w:r w:rsidRPr="00552CEE">
        <w:t xml:space="preserve"> </w:t>
      </w:r>
      <w:r w:rsidR="00627296" w:rsidRPr="00552CEE">
        <w:t xml:space="preserve">using the assumptions set out below. </w:t>
      </w:r>
    </w:p>
    <w:p w14:paraId="50258924" w14:textId="19E38D02" w:rsidR="005339D0" w:rsidRPr="00552CEE" w:rsidRDefault="005339D0" w:rsidP="005339D0">
      <w:r w:rsidRPr="00552CEE">
        <w:t>The modelling cover</w:t>
      </w:r>
      <w:r w:rsidR="00747B18" w:rsidRPr="00552CEE">
        <w:t>s</w:t>
      </w:r>
      <w:r w:rsidRPr="00552CEE">
        <w:t xml:space="preserve"> both the commercial and the </w:t>
      </w:r>
      <w:r w:rsidR="00830826">
        <w:t>SO perspectives</w:t>
      </w:r>
      <w:r w:rsidRPr="00552CEE">
        <w:t xml:space="preserve"> and will be based on a cash flow model developed as an </w:t>
      </w:r>
      <w:r w:rsidR="007F6BC6" w:rsidRPr="00552CEE">
        <w:t>open-source</w:t>
      </w:r>
      <w:r w:rsidRPr="00552CEE">
        <w:t xml:space="preserve"> asset by Simon Gill for Regen in 2025.</w:t>
      </w:r>
    </w:p>
    <w:p w14:paraId="011ADA9E" w14:textId="6FD6A2E4" w:rsidR="005339D0" w:rsidRPr="00552CEE" w:rsidRDefault="005339D0" w:rsidP="005339D0">
      <w:r w:rsidRPr="00552CEE">
        <w:t>Where possible, the model</w:t>
      </w:r>
      <w:r w:rsidR="00B06DE6" w:rsidRPr="00552CEE">
        <w:t>ling</w:t>
      </w:r>
      <w:r w:rsidRPr="00552CEE">
        <w:t xml:space="preserve"> use</w:t>
      </w:r>
      <w:r w:rsidR="00B06DE6" w:rsidRPr="00552CEE">
        <w:t>s</w:t>
      </w:r>
      <w:r w:rsidRPr="00552CEE">
        <w:t xml:space="preserve"> publicly citable data and</w:t>
      </w:r>
      <w:r w:rsidR="00830826">
        <w:t xml:space="preserve"> </w:t>
      </w:r>
      <w:r w:rsidR="007F6BC6">
        <w:t>supplements</w:t>
      </w:r>
      <w:r w:rsidR="00830826">
        <w:t xml:space="preserve"> </w:t>
      </w:r>
      <w:r w:rsidRPr="00552CEE">
        <w:t xml:space="preserve">that </w:t>
      </w:r>
      <w:r w:rsidR="00F8669D">
        <w:t xml:space="preserve">with data that is </w:t>
      </w:r>
      <w:r w:rsidRPr="00552CEE">
        <w:t>justifiable and aligned with The Energy Landscape and Regen’s understanding of the current investment and operational landscape for offshore wind.</w:t>
      </w:r>
    </w:p>
    <w:p w14:paraId="31AA0FB5" w14:textId="605F9D1F" w:rsidR="005339D0" w:rsidRPr="00552CEE" w:rsidRDefault="005339D0" w:rsidP="005339D0">
      <w:r w:rsidRPr="00552CEE">
        <w:t>The modelling will provide base case</w:t>
      </w:r>
      <w:r w:rsidR="007F6BC6">
        <w:t>s</w:t>
      </w:r>
      <w:r w:rsidRPr="00552CEE">
        <w:t xml:space="preserve"> together with sensitivities covering upside and downside outcomes</w:t>
      </w:r>
      <w:r w:rsidR="007F6BC6">
        <w:t xml:space="preserve"> and showing the impact of important parameters</w:t>
      </w:r>
      <w:r w:rsidRPr="00552CEE">
        <w:t xml:space="preserve">. In doing so, it will </w:t>
      </w:r>
      <w:r w:rsidR="009C6DC4" w:rsidRPr="00552CEE">
        <w:t>highlight</w:t>
      </w:r>
      <w:r w:rsidR="00042756" w:rsidRPr="00552CEE">
        <w:t xml:space="preserve"> </w:t>
      </w:r>
      <w:r w:rsidRPr="00552CEE">
        <w:t>both the opportunity and the risks involved in shared ownership.</w:t>
      </w:r>
    </w:p>
    <w:p w14:paraId="7507B0E7" w14:textId="42386A22" w:rsidR="004535EA" w:rsidRDefault="00042756" w:rsidP="005339D0">
      <w:pPr>
        <w:rPr>
          <w:b/>
          <w:bCs/>
        </w:rPr>
      </w:pPr>
      <w:r w:rsidRPr="00F8669D">
        <w:rPr>
          <w:b/>
          <w:bCs/>
        </w:rPr>
        <w:t xml:space="preserve">To </w:t>
      </w:r>
      <w:r w:rsidR="009C6DC4" w:rsidRPr="00F8669D">
        <w:rPr>
          <w:b/>
          <w:bCs/>
        </w:rPr>
        <w:t>reiterate</w:t>
      </w:r>
      <w:r w:rsidRPr="00F8669D">
        <w:rPr>
          <w:b/>
          <w:bCs/>
        </w:rPr>
        <w:t xml:space="preserve">: </w:t>
      </w:r>
      <w:r w:rsidR="00880C65" w:rsidRPr="00880C65">
        <w:rPr>
          <w:b/>
          <w:bCs/>
        </w:rPr>
        <w:t>The modelling is illustrative rather than definitive and is intended to indicate scale and key drivers rather than provide precise estimates</w:t>
      </w:r>
      <w:r w:rsidR="007F6BC6">
        <w:rPr>
          <w:b/>
          <w:bCs/>
        </w:rPr>
        <w:t xml:space="preserve">. </w:t>
      </w:r>
    </w:p>
    <w:p w14:paraId="56571EDC" w14:textId="77777777" w:rsidR="00880C65" w:rsidRDefault="00880C65" w:rsidP="005339D0">
      <w:pPr>
        <w:rPr>
          <w:b/>
          <w:bCs/>
        </w:rPr>
      </w:pPr>
    </w:p>
    <w:p w14:paraId="44842F78" w14:textId="77777777" w:rsidR="00880C65" w:rsidRPr="00F8669D" w:rsidRDefault="00880C65" w:rsidP="005339D0">
      <w:pPr>
        <w:rPr>
          <w:b/>
          <w:bCs/>
        </w:rPr>
      </w:pPr>
    </w:p>
    <w:p w14:paraId="3BF2E1AF" w14:textId="502E25C3" w:rsidR="000604A4" w:rsidRPr="00552CEE" w:rsidRDefault="00527220" w:rsidP="000604A4">
      <w:pPr>
        <w:pStyle w:val="Heading2"/>
      </w:pPr>
      <w:r w:rsidRPr="00552CEE">
        <w:lastRenderedPageBreak/>
        <w:t>Phase</w:t>
      </w:r>
      <w:r w:rsidR="000604A4" w:rsidRPr="00552CEE">
        <w:t xml:space="preserve"> 1 modelling</w:t>
      </w:r>
    </w:p>
    <w:p w14:paraId="20C91E64" w14:textId="7A5E6CE9" w:rsidR="00B96E3F" w:rsidRDefault="00B96E3F" w:rsidP="00B96E3F">
      <w:r w:rsidRPr="00B96E3F">
        <w:t xml:space="preserve">The Phase 1 </w:t>
      </w:r>
      <w:r w:rsidR="007F6BC6" w:rsidRPr="00B96E3F">
        <w:t>model</w:t>
      </w:r>
      <w:r w:rsidR="007F6BC6">
        <w:t>ling</w:t>
      </w:r>
      <w:r w:rsidRPr="00B96E3F">
        <w:t xml:space="preserve"> focuses on a 1,000 MW offshore wind farm, typical of the scale of projects currently in development. It </w:t>
      </w:r>
      <w:r w:rsidR="007F6BC6">
        <w:t xml:space="preserve">assumes an </w:t>
      </w:r>
      <w:r w:rsidRPr="00B96E3F">
        <w:t>SO organisation buys into a commercial project. Two examples are considered: one where the wind farm has no project-level debt (i.e. it is balance sheet funded), and one where the developers use commercial loans to leverage the project.</w:t>
      </w:r>
      <w:r w:rsidR="007F6BC6">
        <w:t xml:space="preserve"> Note that a fully balance sheet funded offshore wind farm would be very unusual beyond the development stage of the project</w:t>
      </w:r>
      <w:r w:rsidR="007167B3">
        <w:t>,</w:t>
      </w:r>
      <w:r w:rsidR="007F6BC6">
        <w:t xml:space="preserve"> with almost all large-scale wind farms being taken forward by joint ventures with project level debt.</w:t>
      </w:r>
    </w:p>
    <w:p w14:paraId="2D98B69C" w14:textId="2F630AB9" w:rsidR="00B96E3F" w:rsidRDefault="00B96E3F" w:rsidP="00B96E3F">
      <w:r w:rsidRPr="00B96E3F">
        <w:t xml:space="preserve">The modelling also includes sensitivities that explore typical risks </w:t>
      </w:r>
      <w:r w:rsidR="007F6BC6">
        <w:t xml:space="preserve">the </w:t>
      </w:r>
      <w:r w:rsidRPr="00B96E3F">
        <w:t>investors would seek to understand, for example scenarios in which revenue outturn is lower than expected.</w:t>
      </w:r>
    </w:p>
    <w:p w14:paraId="1914442F" w14:textId="5E9FA563" w:rsidR="0066311F" w:rsidRDefault="0066311F" w:rsidP="00B96E3F">
      <w:pPr>
        <w:pStyle w:val="Heading2"/>
      </w:pPr>
      <w:r>
        <w:t>Phase 2 modelling</w:t>
      </w:r>
    </w:p>
    <w:p w14:paraId="131AAD19" w14:textId="77777777" w:rsidR="00E8304E" w:rsidRDefault="00EC5451" w:rsidP="00EC5451">
      <w:r>
        <w:t>Phase 2 modelling covers onshore wind and solar</w:t>
      </w:r>
      <w:r w:rsidR="007F6BC6">
        <w:t xml:space="preserve"> and uses example projects of approximately 50 MW.</w:t>
      </w:r>
      <w:r>
        <w:t xml:space="preserve"> </w:t>
      </w:r>
    </w:p>
    <w:p w14:paraId="41E65118" w14:textId="4C250DF1" w:rsidR="00EC5451" w:rsidRDefault="00EC5451" w:rsidP="00EC5451">
      <w:r>
        <w:t xml:space="preserve">The onshore wind modelling takes a similar approach to the base case study, covering two examples: one involving a balance sheet funded project, and one involving a project with commercial debt. </w:t>
      </w:r>
      <w:r w:rsidR="00E8304E">
        <w:t>S</w:t>
      </w:r>
      <w:r>
        <w:t>ensitivities are used more systematically to illustrate the impact of a range of key factors, including public sector debt interest rates and tenor, as well as commercial debt interest rates.</w:t>
      </w:r>
    </w:p>
    <w:p w14:paraId="3B0D714E" w14:textId="71297795" w:rsidR="000B59CE" w:rsidRDefault="00EC5451" w:rsidP="004535EA">
      <w:r>
        <w:t xml:space="preserve">The solar modelling presents an example of a "split-site" project, where the SO organisation has direct physical ownership of a portion of the assets, rather than holding a share in a </w:t>
      </w:r>
      <w:r w:rsidR="00E8304E">
        <w:t>joint venture Special Purpose Vehicle (SPV)</w:t>
      </w:r>
      <w:r>
        <w:t>.</w:t>
      </w:r>
    </w:p>
    <w:p w14:paraId="43DEDA61" w14:textId="25EDDC6A" w:rsidR="0070177A" w:rsidRDefault="0070177A" w:rsidP="0070177A">
      <w:pPr>
        <w:pStyle w:val="Heading2"/>
      </w:pPr>
      <w:r>
        <w:t>Ownership models</w:t>
      </w:r>
    </w:p>
    <w:p w14:paraId="3DD444B2" w14:textId="4825E68B" w:rsidR="0070177A" w:rsidRDefault="0070177A" w:rsidP="0070177A">
      <w:r>
        <w:t xml:space="preserve">There is a key difference between ownership models: </w:t>
      </w:r>
      <w:r>
        <w:br/>
      </w:r>
    </w:p>
    <w:p w14:paraId="3196D6F5" w14:textId="6A4A337E" w:rsidR="0070177A" w:rsidRPr="009914ED" w:rsidRDefault="0070177A" w:rsidP="009914ED">
      <w:pPr>
        <w:pStyle w:val="ListParagraph"/>
        <w:numPr>
          <w:ilvl w:val="0"/>
          <w:numId w:val="48"/>
        </w:numPr>
        <w:rPr>
          <w:b/>
          <w:bCs/>
        </w:rPr>
      </w:pPr>
      <w:r w:rsidRPr="002B3230">
        <w:rPr>
          <w:b/>
          <w:bCs/>
        </w:rPr>
        <w:t xml:space="preserve">Joint venture in a </w:t>
      </w:r>
      <w:r w:rsidR="002B3230" w:rsidRPr="002B3230">
        <w:rPr>
          <w:b/>
          <w:bCs/>
        </w:rPr>
        <w:t xml:space="preserve">balance sheet funded project: </w:t>
      </w:r>
      <w:r w:rsidR="002B3230">
        <w:t xml:space="preserve">a joint venture project implies that the physical asset is owned by a company set up for that specific purpose – an SPV. </w:t>
      </w:r>
      <w:r w:rsidR="00BC44A0">
        <w:t xml:space="preserve">A balance sheet funded project means that there is no project level debt and it is funded directly from the balance sheet of the parent company. Therefore this model does not include </w:t>
      </w:r>
      <w:r w:rsidR="009914ED">
        <w:t>commercial</w:t>
      </w:r>
      <w:r w:rsidR="00BC44A0">
        <w:t xml:space="preserve"> debt at the project level </w:t>
      </w:r>
    </w:p>
    <w:p w14:paraId="76F134B3" w14:textId="77777777" w:rsidR="009914ED" w:rsidRPr="00BC44A0" w:rsidRDefault="009914ED" w:rsidP="009914ED">
      <w:pPr>
        <w:pStyle w:val="ListParagraph"/>
        <w:rPr>
          <w:b/>
          <w:bCs/>
        </w:rPr>
      </w:pPr>
    </w:p>
    <w:p w14:paraId="748244EC" w14:textId="2D7021F5" w:rsidR="00BC44A0" w:rsidRPr="009914ED" w:rsidRDefault="00BC44A0" w:rsidP="009914ED">
      <w:pPr>
        <w:pStyle w:val="ListParagraph"/>
        <w:numPr>
          <w:ilvl w:val="0"/>
          <w:numId w:val="48"/>
        </w:numPr>
        <w:rPr>
          <w:b/>
          <w:bCs/>
        </w:rPr>
      </w:pPr>
      <w:r w:rsidRPr="002B3230">
        <w:rPr>
          <w:b/>
          <w:bCs/>
        </w:rPr>
        <w:t>Joint venture in a</w:t>
      </w:r>
      <w:r>
        <w:rPr>
          <w:b/>
          <w:bCs/>
        </w:rPr>
        <w:t xml:space="preserve"> project finance </w:t>
      </w:r>
      <w:r w:rsidR="00267A08">
        <w:rPr>
          <w:b/>
          <w:bCs/>
        </w:rPr>
        <w:t xml:space="preserve">funded project </w:t>
      </w:r>
      <w:r w:rsidRPr="002B3230">
        <w:rPr>
          <w:b/>
          <w:bCs/>
        </w:rPr>
        <w:t xml:space="preserve">: </w:t>
      </w:r>
      <w:r w:rsidR="00267A08">
        <w:t xml:space="preserve">A project finance approach means using debt to </w:t>
      </w:r>
      <w:r w:rsidR="007167B3">
        <w:t xml:space="preserve">pay </w:t>
      </w:r>
      <w:r w:rsidR="00267A08">
        <w:t xml:space="preserve">for a significant fraction of the capital investment. In renewable development this may be as high as 70%. This approach </w:t>
      </w:r>
      <w:r w:rsidR="00D52EEC">
        <w:t xml:space="preserve">leverage the equity investment, potentially increasing equity returns, but it also increases risk. Buying into a Project Finance Joint Venture means taking a share of the company which owns both the physical asset and the </w:t>
      </w:r>
      <w:r w:rsidR="009914ED">
        <w:t xml:space="preserve">commercial debt. </w:t>
      </w:r>
    </w:p>
    <w:p w14:paraId="13C3E95B" w14:textId="77777777" w:rsidR="009914ED" w:rsidRPr="009914ED" w:rsidRDefault="009914ED" w:rsidP="009914ED">
      <w:pPr>
        <w:pStyle w:val="ListParagraph"/>
        <w:rPr>
          <w:b/>
          <w:bCs/>
        </w:rPr>
      </w:pPr>
    </w:p>
    <w:p w14:paraId="2506DFC9" w14:textId="1F3F6A43" w:rsidR="009914ED" w:rsidRPr="00BC44A0" w:rsidRDefault="009914ED" w:rsidP="009914ED">
      <w:pPr>
        <w:pStyle w:val="ListParagraph"/>
        <w:numPr>
          <w:ilvl w:val="0"/>
          <w:numId w:val="48"/>
        </w:numPr>
        <w:rPr>
          <w:b/>
          <w:bCs/>
        </w:rPr>
      </w:pPr>
      <w:r>
        <w:rPr>
          <w:b/>
          <w:bCs/>
        </w:rPr>
        <w:lastRenderedPageBreak/>
        <w:t xml:space="preserve">Split-site: </w:t>
      </w:r>
      <w:r>
        <w:t xml:space="preserve">this is a physical ownership model in which the SO organisation owns specific physical assets completely separately from the commercial developer. It is an approach that has been used in solar. In this case, the SO organisation is directly responsible for the construction, ongoing O&amp;M, land rental etc. of their part of the project.  </w:t>
      </w:r>
    </w:p>
    <w:p w14:paraId="198C3F45" w14:textId="7AF8D3EB" w:rsidR="009914ED" w:rsidRPr="009914ED" w:rsidRDefault="009914ED" w:rsidP="009914ED">
      <w:r w:rsidRPr="009914ED">
        <w:t xml:space="preserve">Models 1 and 3 represent taking a share in the physical assets of the site, Model 2 represents taking a share of both the physical asset and commercial debt. </w:t>
      </w:r>
      <w:r>
        <w:t xml:space="preserve">The cash-flow waterfall, representing the priority by which costs and debt servicing are met are shown in </w:t>
      </w:r>
      <w:r w:rsidR="00424FF2">
        <w:fldChar w:fldCharType="begin"/>
      </w:r>
      <w:r w:rsidR="00424FF2">
        <w:instrText xml:space="preserve"> REF _Ref226041510 \h </w:instrText>
      </w:r>
      <w:r w:rsidR="00424FF2">
        <w:fldChar w:fldCharType="separate"/>
      </w:r>
      <w:r w:rsidR="00BA359F" w:rsidRPr="00552CEE">
        <w:t xml:space="preserve">Figure </w:t>
      </w:r>
      <w:r w:rsidR="00BA359F">
        <w:rPr>
          <w:noProof/>
        </w:rPr>
        <w:t>1</w:t>
      </w:r>
      <w:r w:rsidR="00424FF2">
        <w:fldChar w:fldCharType="end"/>
      </w:r>
      <w:r w:rsidR="00424FF2">
        <w:t>.</w:t>
      </w:r>
    </w:p>
    <w:p w14:paraId="148C6067" w14:textId="77777777" w:rsidR="003E6EDF" w:rsidRPr="00552CEE" w:rsidRDefault="003E6EDF" w:rsidP="004535EA"/>
    <w:p w14:paraId="4AD45F99" w14:textId="77777777" w:rsidR="00424FF2" w:rsidRPr="00552CEE" w:rsidRDefault="00424FF2" w:rsidP="00424FF2">
      <w:pPr>
        <w:keepNext/>
        <w:jc w:val="center"/>
      </w:pPr>
      <w:r w:rsidRPr="00552CEE">
        <w:rPr>
          <w:noProof/>
        </w:rPr>
        <w:drawing>
          <wp:inline distT="0" distB="0" distL="0" distR="0" wp14:anchorId="31880E6B" wp14:editId="4B9DE767">
            <wp:extent cx="4832350" cy="5514564"/>
            <wp:effectExtent l="0" t="0" r="6350" b="0"/>
            <wp:docPr id="8871733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6938" cy="5519800"/>
                    </a:xfrm>
                    <a:prstGeom prst="rect">
                      <a:avLst/>
                    </a:prstGeom>
                    <a:noFill/>
                  </pic:spPr>
                </pic:pic>
              </a:graphicData>
            </a:graphic>
          </wp:inline>
        </w:drawing>
      </w:r>
    </w:p>
    <w:p w14:paraId="506443C0" w14:textId="7BA4ABEA" w:rsidR="00424FF2" w:rsidRPr="00552CEE" w:rsidRDefault="00424FF2" w:rsidP="00424FF2">
      <w:pPr>
        <w:pStyle w:val="Caption"/>
        <w:jc w:val="center"/>
      </w:pPr>
      <w:bookmarkStart w:id="0" w:name="_Ref226041510"/>
      <w:r w:rsidRPr="00552CEE">
        <w:t xml:space="preserve">Figure </w:t>
      </w:r>
      <w:fldSimple w:instr=" SEQ Figure \* ARABIC ">
        <w:r w:rsidR="00BA359F">
          <w:rPr>
            <w:noProof/>
          </w:rPr>
          <w:t>1</w:t>
        </w:r>
      </w:fldSimple>
      <w:bookmarkEnd w:id="0"/>
      <w:r w:rsidRPr="00552CEE">
        <w:t xml:space="preserve">: Illustrating </w:t>
      </w:r>
      <w:r w:rsidR="00BC6D4C">
        <w:t xml:space="preserve">different ownership models modelled in this report. </w:t>
      </w:r>
    </w:p>
    <w:p w14:paraId="53C45814" w14:textId="77777777" w:rsidR="00A062E1" w:rsidRPr="00552CEE" w:rsidRDefault="00A062E1" w:rsidP="000604A4">
      <w:pPr>
        <w:sectPr w:rsidR="00A062E1" w:rsidRPr="00552CEE">
          <w:headerReference w:type="default" r:id="rId13"/>
          <w:footerReference w:type="default" r:id="rId14"/>
          <w:pgSz w:w="11906" w:h="16838"/>
          <w:pgMar w:top="1440" w:right="1440" w:bottom="1440" w:left="1440" w:header="708" w:footer="708" w:gutter="0"/>
          <w:cols w:space="708"/>
          <w:docGrid w:linePitch="360"/>
        </w:sectPr>
      </w:pPr>
    </w:p>
    <w:p w14:paraId="42DD90AA" w14:textId="158F5662" w:rsidR="000604A4" w:rsidRPr="00552CEE" w:rsidRDefault="000604A4" w:rsidP="000604A4">
      <w:pPr>
        <w:pStyle w:val="Heading1"/>
      </w:pPr>
      <w:r w:rsidRPr="00552CEE">
        <w:lastRenderedPageBreak/>
        <w:t>Modelling set up</w:t>
      </w:r>
    </w:p>
    <w:p w14:paraId="6AF905C0" w14:textId="2E9F81BD" w:rsidR="00934AF0" w:rsidRPr="00552CEE" w:rsidRDefault="00E8304E" w:rsidP="00934AF0">
      <w:r>
        <w:t xml:space="preserve">The example 1,000 MW </w:t>
      </w:r>
      <w:r w:rsidR="00934AF0" w:rsidRPr="00552CEE">
        <w:t xml:space="preserve">offshore wind farm </w:t>
      </w:r>
      <w:r>
        <w:t xml:space="preserve">project is </w:t>
      </w:r>
      <w:r w:rsidR="0056046B">
        <w:t xml:space="preserve">set in </w:t>
      </w:r>
      <w:r w:rsidR="00934AF0" w:rsidRPr="00552CEE">
        <w:t>southern Scotland, commissioned in 2028 and operating for 30 years. It assumes an AR6 CfD and a Shared Ownership (SO) Company taking a stake in either the physical asset or the equity of a project-financed joint venture (see Ownership Models below). Shared ownership is assumed to be taken up at Commercial Operations Date (COD). The SO Company is assumed to be financed by a public sector loan over 20 years at interest rates below market levels.</w:t>
      </w:r>
    </w:p>
    <w:p w14:paraId="4DDA888E" w14:textId="6E5E8ABD" w:rsidR="00017526" w:rsidRPr="00552CEE" w:rsidRDefault="00934AF0" w:rsidP="00934AF0">
      <w:r w:rsidRPr="00552CEE">
        <w:t>Sensitivities explore TNUoS, operating costs and revenues, public sector loan interest rates, and the option of a public sector grant replacing the loan</w:t>
      </w:r>
      <w:r w:rsidR="00017526" w:rsidRPr="00552CEE">
        <w:t xml:space="preserve">. </w:t>
      </w:r>
    </w:p>
    <w:p w14:paraId="4333CDF7" w14:textId="67542AA6" w:rsidR="00345BDB" w:rsidRDefault="00345BDB" w:rsidP="000604A4">
      <w:pPr>
        <w:pStyle w:val="Heading2"/>
      </w:pPr>
      <w:r w:rsidRPr="00552CEE">
        <w:t>Ownership models</w:t>
      </w:r>
    </w:p>
    <w:p w14:paraId="217C02D3" w14:textId="5241200A" w:rsidR="00424FF2" w:rsidRPr="00424FF2" w:rsidRDefault="00424FF2" w:rsidP="00424FF2">
      <w:r>
        <w:t xml:space="preserve">For offshore wind modelling is carried out for ownership models 1 and 2: balance sheet and project-financed </w:t>
      </w:r>
      <w:r w:rsidR="00E26F82">
        <w:t xml:space="preserve">joint ventures. </w:t>
      </w:r>
    </w:p>
    <w:p w14:paraId="70471C38" w14:textId="37BC05B5" w:rsidR="000604A4" w:rsidRPr="00552CEE" w:rsidRDefault="000604A4" w:rsidP="000604A4">
      <w:pPr>
        <w:pStyle w:val="Heading2"/>
      </w:pPr>
      <w:r w:rsidRPr="00552CEE">
        <w:t>Example project</w:t>
      </w:r>
    </w:p>
    <w:p w14:paraId="75C2E006" w14:textId="51CCDC91" w:rsidR="004535EA" w:rsidRPr="00552CEE" w:rsidRDefault="0010761D" w:rsidP="000604A4">
      <w:r w:rsidRPr="00552CEE">
        <w:t>The example project is a 1,000 MW offshore wind farm, typical of those currently under development</w:t>
      </w:r>
      <w:r w:rsidR="00F00A79" w:rsidRPr="00552CEE">
        <w:t xml:space="preserve"> in Scotland</w:t>
      </w:r>
      <w:r w:rsidRPr="00552CEE">
        <w:t xml:space="preserve">. </w:t>
      </w:r>
      <w:r w:rsidR="00F00A79" w:rsidRPr="00552CEE">
        <w:t xml:space="preserve">It </w:t>
      </w:r>
      <w:r w:rsidRPr="00552CEE">
        <w:t>is assumed to be connected in southern Scotland. There are significant variations in the scale of transmission charges faced in different parts of Scotland, which are explored in a sensitivity analysis.</w:t>
      </w:r>
    </w:p>
    <w:p w14:paraId="0E8B66DD" w14:textId="46E9C68D" w:rsidR="000604A4" w:rsidRPr="00552CEE" w:rsidRDefault="000604A4" w:rsidP="000604A4">
      <w:pPr>
        <w:pStyle w:val="Heading2"/>
      </w:pPr>
      <w:r w:rsidRPr="00552CEE">
        <w:t>Base cas</w:t>
      </w:r>
      <w:r w:rsidR="004535EA" w:rsidRPr="00552CEE">
        <w:t>e</w:t>
      </w:r>
      <w:r w:rsidRPr="00552CEE">
        <w:t xml:space="preserve"> set up</w:t>
      </w:r>
    </w:p>
    <w:p w14:paraId="07177B7D" w14:textId="514A077B" w:rsidR="00BA672A" w:rsidRPr="00552CEE" w:rsidRDefault="00C67969" w:rsidP="00BA672A">
      <w:r w:rsidRPr="00552CEE">
        <w:t xml:space="preserve">The base case </w:t>
      </w:r>
      <w:r w:rsidR="005F2EEF" w:rsidRPr="00552CEE">
        <w:t xml:space="preserve">uses an example physical project where costs are based on recent public estimates and revenues are based on a </w:t>
      </w:r>
      <w:r w:rsidR="0017645D" w:rsidRPr="00552CEE">
        <w:t>15-year</w:t>
      </w:r>
      <w:r w:rsidR="005F2EEF" w:rsidRPr="00552CEE">
        <w:t xml:space="preserve"> AR6 contract and strike price</w:t>
      </w:r>
      <w:r w:rsidR="00E26F82">
        <w:t>,</w:t>
      </w:r>
      <w:r w:rsidR="005F2EEF" w:rsidRPr="00552CEE">
        <w:t xml:space="preserve"> and forecasts of market prices for the merchant tail period (the period following the end of the CfD). Note that AR7 CfD contracts are for 20 years</w:t>
      </w:r>
      <w:r w:rsidR="00F00A79" w:rsidRPr="00552CEE">
        <w:t xml:space="preserve"> and modelling for projects with an AR7 </w:t>
      </w:r>
      <w:r w:rsidR="009D5239" w:rsidRPr="00552CEE">
        <w:t>contract should be adjusted accordingly</w:t>
      </w:r>
      <w:r w:rsidR="00A446D4" w:rsidRPr="00552CEE">
        <w:t>.</w:t>
      </w:r>
    </w:p>
    <w:p w14:paraId="7A6A7B29" w14:textId="14B5BAD3" w:rsidR="00A446D4" w:rsidRDefault="00957171" w:rsidP="00BA672A">
      <w:r w:rsidRPr="00552CEE">
        <w:t>Table 1 sets out the parameters for the overall project. Table 2 sets out the parameters for the commercial debt used in the project-finance ownership model. Table 3 sets out the parameters of the public sector loan assumed to finance the SO Company</w:t>
      </w:r>
      <w:r w:rsidR="0017645D" w:rsidRPr="00552CEE">
        <w:t xml:space="preserve">. </w:t>
      </w:r>
    </w:p>
    <w:p w14:paraId="1A926587" w14:textId="77777777" w:rsidR="00E26F82" w:rsidRDefault="00E26F82" w:rsidP="00BA672A"/>
    <w:p w14:paraId="284927D5" w14:textId="77777777" w:rsidR="00E26F82" w:rsidRDefault="00E26F82" w:rsidP="00BA672A"/>
    <w:p w14:paraId="67C75658" w14:textId="77777777" w:rsidR="00E26F82" w:rsidRDefault="00E26F82" w:rsidP="00BA672A"/>
    <w:p w14:paraId="3FD90F3E" w14:textId="77777777" w:rsidR="00E26F82" w:rsidRDefault="00E26F82" w:rsidP="00BA672A"/>
    <w:p w14:paraId="2EED15A5" w14:textId="77777777" w:rsidR="00E26F82" w:rsidRDefault="00E26F82" w:rsidP="00BA672A"/>
    <w:p w14:paraId="0E6F5F8C" w14:textId="77777777" w:rsidR="00E26F82" w:rsidRPr="00552CEE" w:rsidRDefault="00E26F82" w:rsidP="00BA672A"/>
    <w:p w14:paraId="1C63069F" w14:textId="61FFA6E0" w:rsidR="00BA672A" w:rsidRPr="00552CEE" w:rsidRDefault="00BA672A" w:rsidP="00BA672A">
      <w:pPr>
        <w:pStyle w:val="Caption"/>
        <w:keepNext/>
        <w:jc w:val="center"/>
      </w:pPr>
      <w:bookmarkStart w:id="1" w:name="_Ref222979759"/>
      <w:r w:rsidRPr="00552CEE">
        <w:lastRenderedPageBreak/>
        <w:t xml:space="preserve">Table </w:t>
      </w:r>
      <w:fldSimple w:instr=" SEQ Table \* ARABIC ">
        <w:r w:rsidR="00BA359F">
          <w:rPr>
            <w:noProof/>
          </w:rPr>
          <w:t>1</w:t>
        </w:r>
      </w:fldSimple>
      <w:bookmarkEnd w:id="1"/>
      <w:r w:rsidRPr="00552CEE">
        <w:t>: key parameters for the example project basecase scenario</w:t>
      </w:r>
      <w:r w:rsidR="009D5239" w:rsidRPr="00552CEE">
        <w:t>. Those in grey do not influence the modelling.</w:t>
      </w:r>
    </w:p>
    <w:tbl>
      <w:tblPr>
        <w:tblStyle w:val="PlainTable2"/>
        <w:tblW w:w="9781" w:type="dxa"/>
        <w:tblLook w:val="04A0" w:firstRow="1" w:lastRow="0" w:firstColumn="1" w:lastColumn="0" w:noHBand="0" w:noVBand="1"/>
      </w:tblPr>
      <w:tblGrid>
        <w:gridCol w:w="2127"/>
        <w:gridCol w:w="3118"/>
        <w:gridCol w:w="4536"/>
      </w:tblGrid>
      <w:tr w:rsidR="003F1EB3" w:rsidRPr="00552CEE" w14:paraId="315D73C2" w14:textId="77777777" w:rsidTr="00036938">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127" w:type="dxa"/>
            <w:shd w:val="clear" w:color="auto" w:fill="AEAAAA" w:themeFill="background2" w:themeFillShade="BF"/>
            <w:hideMark/>
          </w:tcPr>
          <w:p w14:paraId="622C70DD" w14:textId="388EE913" w:rsidR="003F1EB3" w:rsidRPr="00552CEE" w:rsidRDefault="003F1EB3" w:rsidP="003E1BD4">
            <w:pPr>
              <w:rPr>
                <w:sz w:val="18"/>
                <w:szCs w:val="18"/>
              </w:rPr>
            </w:pPr>
            <w:r w:rsidRPr="00552CEE">
              <w:rPr>
                <w:sz w:val="18"/>
                <w:szCs w:val="18"/>
              </w:rPr>
              <w:t>Par</w:t>
            </w:r>
            <w:r w:rsidR="005244D1" w:rsidRPr="00552CEE">
              <w:rPr>
                <w:sz w:val="18"/>
                <w:szCs w:val="18"/>
              </w:rPr>
              <w:t>a</w:t>
            </w:r>
            <w:r w:rsidRPr="00552CEE">
              <w:rPr>
                <w:sz w:val="18"/>
                <w:szCs w:val="18"/>
              </w:rPr>
              <w:t>meter</w:t>
            </w:r>
          </w:p>
        </w:tc>
        <w:tc>
          <w:tcPr>
            <w:tcW w:w="3118" w:type="dxa"/>
            <w:shd w:val="clear" w:color="auto" w:fill="AEAAAA" w:themeFill="background2" w:themeFillShade="BF"/>
          </w:tcPr>
          <w:p w14:paraId="5DF2BA1B" w14:textId="17183A38" w:rsidR="003F1EB3" w:rsidRPr="00552CEE" w:rsidRDefault="003F1EB3" w:rsidP="003E1BD4">
            <w:pPr>
              <w:ind w:left="284" w:hanging="284"/>
              <w:cnfStyle w:val="100000000000" w:firstRow="1" w:lastRow="0" w:firstColumn="0" w:lastColumn="0" w:oddVBand="0" w:evenVBand="0" w:oddHBand="0" w:evenHBand="0" w:firstRowFirstColumn="0" w:firstRowLastColumn="0" w:lastRowFirstColumn="0" w:lastRowLastColumn="0"/>
              <w:rPr>
                <w:sz w:val="18"/>
                <w:szCs w:val="18"/>
              </w:rPr>
            </w:pPr>
            <w:r w:rsidRPr="00552CEE">
              <w:rPr>
                <w:sz w:val="18"/>
                <w:szCs w:val="18"/>
              </w:rPr>
              <w:t xml:space="preserve">Basecase </w:t>
            </w:r>
          </w:p>
        </w:tc>
        <w:tc>
          <w:tcPr>
            <w:tcW w:w="4536" w:type="dxa"/>
            <w:shd w:val="clear" w:color="auto" w:fill="AEAAAA" w:themeFill="background2" w:themeFillShade="BF"/>
          </w:tcPr>
          <w:p w14:paraId="43DA8642" w14:textId="2F6E0F28" w:rsidR="003F1EB3" w:rsidRPr="00552CEE" w:rsidRDefault="00957171" w:rsidP="003E1BD4">
            <w:pPr>
              <w:ind w:left="284" w:hanging="284"/>
              <w:cnfStyle w:val="100000000000" w:firstRow="1" w:lastRow="0" w:firstColumn="0" w:lastColumn="0" w:oddVBand="0" w:evenVBand="0" w:oddHBand="0" w:evenHBand="0" w:firstRowFirstColumn="0" w:firstRowLastColumn="0" w:lastRowFirstColumn="0" w:lastRowLastColumn="0"/>
              <w:rPr>
                <w:sz w:val="18"/>
                <w:szCs w:val="18"/>
              </w:rPr>
            </w:pPr>
            <w:r w:rsidRPr="00552CEE">
              <w:rPr>
                <w:sz w:val="18"/>
                <w:szCs w:val="18"/>
              </w:rPr>
              <w:t>Comment</w:t>
            </w:r>
          </w:p>
        </w:tc>
      </w:tr>
      <w:tr w:rsidR="000F4A0E" w:rsidRPr="00552CEE" w14:paraId="3189CBEA" w14:textId="77777777" w:rsidTr="00C67969">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127" w:type="dxa"/>
          </w:tcPr>
          <w:p w14:paraId="4BE4A1D2" w14:textId="5993DB35" w:rsidR="000F4A0E" w:rsidRPr="00552CEE" w:rsidRDefault="000F4A0E" w:rsidP="003E1BD4">
            <w:pPr>
              <w:rPr>
                <w:sz w:val="18"/>
                <w:szCs w:val="18"/>
              </w:rPr>
            </w:pPr>
            <w:r w:rsidRPr="00552CEE">
              <w:rPr>
                <w:sz w:val="18"/>
                <w:szCs w:val="18"/>
              </w:rPr>
              <w:t>Capacity</w:t>
            </w:r>
          </w:p>
        </w:tc>
        <w:tc>
          <w:tcPr>
            <w:tcW w:w="3118" w:type="dxa"/>
          </w:tcPr>
          <w:p w14:paraId="1D20D952" w14:textId="52FC4550" w:rsidR="000F4A0E" w:rsidRPr="00552CEE" w:rsidRDefault="000F4A0E" w:rsidP="003E1BD4">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1,000 MW</w:t>
            </w:r>
          </w:p>
        </w:tc>
        <w:tc>
          <w:tcPr>
            <w:tcW w:w="4536" w:type="dxa"/>
          </w:tcPr>
          <w:p w14:paraId="103DE513" w14:textId="34DA2BA1" w:rsidR="000F4A0E" w:rsidRPr="00552CEE" w:rsidRDefault="00957171" w:rsidP="003E1BD4">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Typical Scottish offshore wind project size</w:t>
            </w:r>
          </w:p>
        </w:tc>
      </w:tr>
      <w:tr w:rsidR="000F4A0E" w:rsidRPr="00552CEE" w14:paraId="6C75597A" w14:textId="77777777" w:rsidTr="00C67969">
        <w:trPr>
          <w:trHeight w:val="478"/>
        </w:trPr>
        <w:tc>
          <w:tcPr>
            <w:cnfStyle w:val="001000000000" w:firstRow="0" w:lastRow="0" w:firstColumn="1" w:lastColumn="0" w:oddVBand="0" w:evenVBand="0" w:oddHBand="0" w:evenHBand="0" w:firstRowFirstColumn="0" w:firstRowLastColumn="0" w:lastRowFirstColumn="0" w:lastRowLastColumn="0"/>
            <w:tcW w:w="2127" w:type="dxa"/>
          </w:tcPr>
          <w:p w14:paraId="6B529F9C" w14:textId="1CBE66B1" w:rsidR="000F4A0E" w:rsidRPr="00552CEE" w:rsidRDefault="00FC6901" w:rsidP="003E1BD4">
            <w:pPr>
              <w:rPr>
                <w:sz w:val="18"/>
                <w:szCs w:val="18"/>
              </w:rPr>
            </w:pPr>
            <w:r w:rsidRPr="00552CEE">
              <w:rPr>
                <w:sz w:val="18"/>
                <w:szCs w:val="18"/>
              </w:rPr>
              <w:t>Commissioning year</w:t>
            </w:r>
          </w:p>
        </w:tc>
        <w:tc>
          <w:tcPr>
            <w:tcW w:w="3118" w:type="dxa"/>
          </w:tcPr>
          <w:p w14:paraId="5BC201B5" w14:textId="599A9AE9" w:rsidR="000F4A0E" w:rsidRPr="00552CEE" w:rsidRDefault="000F4A0E" w:rsidP="003E1BD4">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2028</w:t>
            </w:r>
          </w:p>
        </w:tc>
        <w:tc>
          <w:tcPr>
            <w:tcW w:w="4536" w:type="dxa"/>
          </w:tcPr>
          <w:p w14:paraId="3CC85518" w14:textId="035780B2" w:rsidR="000F4A0E" w:rsidRPr="00552CEE" w:rsidRDefault="00957171" w:rsidP="003E1BD4">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Illustrative year only</w:t>
            </w:r>
          </w:p>
        </w:tc>
      </w:tr>
      <w:tr w:rsidR="0018171C" w:rsidRPr="00552CEE" w14:paraId="5B44D6F3" w14:textId="77777777" w:rsidTr="00C67969">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127" w:type="dxa"/>
          </w:tcPr>
          <w:p w14:paraId="57ABE5EC" w14:textId="50895863" w:rsidR="0018171C" w:rsidRPr="00552CEE" w:rsidRDefault="005D21DA" w:rsidP="003E1BD4">
            <w:pPr>
              <w:rPr>
                <w:sz w:val="18"/>
                <w:szCs w:val="18"/>
              </w:rPr>
            </w:pPr>
            <w:r w:rsidRPr="00552CEE">
              <w:rPr>
                <w:sz w:val="18"/>
                <w:szCs w:val="18"/>
              </w:rPr>
              <w:t>Price reporting</w:t>
            </w:r>
          </w:p>
        </w:tc>
        <w:tc>
          <w:tcPr>
            <w:tcW w:w="3118" w:type="dxa"/>
          </w:tcPr>
          <w:p w14:paraId="78A0795B" w14:textId="06A0BBC3" w:rsidR="0018171C" w:rsidRPr="00552CEE" w:rsidRDefault="005D21DA" w:rsidP="003E1BD4">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2025 real terms</w:t>
            </w:r>
          </w:p>
        </w:tc>
        <w:tc>
          <w:tcPr>
            <w:tcW w:w="4536" w:type="dxa"/>
          </w:tcPr>
          <w:p w14:paraId="3F5C841B" w14:textId="760002D8" w:rsidR="0018171C" w:rsidRPr="00552CEE" w:rsidRDefault="005D21DA" w:rsidP="003E1BD4">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Note most cash flows are given undiscounted. However, discussed cash flows are used for project valuation and Net Present Value calculation where required. Discount rates for these are reported in the text</w:t>
            </w:r>
          </w:p>
        </w:tc>
      </w:tr>
      <w:tr w:rsidR="003F1EB3" w:rsidRPr="00552CEE" w14:paraId="1EAFD52B" w14:textId="77777777" w:rsidTr="00C67969">
        <w:trPr>
          <w:trHeight w:val="485"/>
        </w:trPr>
        <w:tc>
          <w:tcPr>
            <w:cnfStyle w:val="001000000000" w:firstRow="0" w:lastRow="0" w:firstColumn="1" w:lastColumn="0" w:oddVBand="0" w:evenVBand="0" w:oddHBand="0" w:evenHBand="0" w:firstRowFirstColumn="0" w:firstRowLastColumn="0" w:lastRowFirstColumn="0" w:lastRowLastColumn="0"/>
            <w:tcW w:w="2127" w:type="dxa"/>
            <w:hideMark/>
          </w:tcPr>
          <w:p w14:paraId="2DE6F162" w14:textId="77777777" w:rsidR="003F1EB3" w:rsidRPr="00552CEE" w:rsidRDefault="003F1EB3" w:rsidP="003E1BD4">
            <w:pPr>
              <w:rPr>
                <w:b w:val="0"/>
                <w:bCs w:val="0"/>
                <w:sz w:val="18"/>
                <w:szCs w:val="18"/>
              </w:rPr>
            </w:pPr>
            <w:r w:rsidRPr="00552CEE">
              <w:rPr>
                <w:sz w:val="18"/>
                <w:szCs w:val="18"/>
              </w:rPr>
              <w:t>Expected load factor</w:t>
            </w:r>
          </w:p>
        </w:tc>
        <w:tc>
          <w:tcPr>
            <w:tcW w:w="3118" w:type="dxa"/>
          </w:tcPr>
          <w:p w14:paraId="0FC705E2" w14:textId="044E57B5" w:rsidR="003F1EB3" w:rsidRPr="00552CEE" w:rsidRDefault="003F1EB3" w:rsidP="003E1BD4">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5</w:t>
            </w:r>
            <w:r w:rsidR="00DA51D9" w:rsidRPr="00552CEE">
              <w:rPr>
                <w:sz w:val="18"/>
                <w:szCs w:val="18"/>
              </w:rPr>
              <w:t>5</w:t>
            </w:r>
            <w:r w:rsidRPr="00552CEE">
              <w:rPr>
                <w:sz w:val="18"/>
                <w:szCs w:val="18"/>
              </w:rPr>
              <w:t>% uncurtailed</w:t>
            </w:r>
          </w:p>
          <w:p w14:paraId="61397B4D" w14:textId="77777777" w:rsidR="003F1EB3" w:rsidRPr="00552CEE" w:rsidRDefault="003F1EB3" w:rsidP="003E1BD4">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95% technical availability</w:t>
            </w:r>
          </w:p>
          <w:p w14:paraId="753C2EC2" w14:textId="77777777" w:rsidR="003F1EB3" w:rsidRPr="00552CEE" w:rsidRDefault="003F1EB3" w:rsidP="003E1BD4">
            <w:pPr>
              <w:cnfStyle w:val="000000000000" w:firstRow="0" w:lastRow="0" w:firstColumn="0" w:lastColumn="0" w:oddVBand="0" w:evenVBand="0" w:oddHBand="0" w:evenHBand="0" w:firstRowFirstColumn="0" w:firstRowLastColumn="0" w:lastRowFirstColumn="0" w:lastRowLastColumn="0"/>
              <w:rPr>
                <w:sz w:val="18"/>
                <w:szCs w:val="18"/>
              </w:rPr>
            </w:pPr>
          </w:p>
          <w:p w14:paraId="20DAB6FF" w14:textId="62FE9E3C" w:rsidR="003F1EB3" w:rsidRPr="00552CEE" w:rsidRDefault="003F1EB3" w:rsidP="003E1BD4">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01AB2B7C" w14:textId="1DF5E386" w:rsidR="003F1EB3" w:rsidRPr="00552CEE" w:rsidRDefault="00FC6901" w:rsidP="003E1BD4">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 xml:space="preserve">Taken from </w:t>
            </w:r>
            <w:r w:rsidR="003F1EB3" w:rsidRPr="00552CEE">
              <w:rPr>
                <w:sz w:val="18"/>
                <w:szCs w:val="18"/>
              </w:rPr>
              <w:t>AR</w:t>
            </w:r>
            <w:r w:rsidRPr="00552CEE">
              <w:rPr>
                <w:sz w:val="18"/>
                <w:szCs w:val="18"/>
              </w:rPr>
              <w:t>6</w:t>
            </w:r>
            <w:r w:rsidR="003F1EB3" w:rsidRPr="00552CEE">
              <w:rPr>
                <w:sz w:val="18"/>
                <w:szCs w:val="18"/>
              </w:rPr>
              <w:t xml:space="preserve"> Administrative Strike Price calculation. </w:t>
            </w:r>
            <w:r w:rsidR="000F4A0E" w:rsidRPr="00552CEE">
              <w:rPr>
                <w:sz w:val="18"/>
                <w:szCs w:val="18"/>
              </w:rPr>
              <w:t xml:space="preserve">Note this is at the optimistic end of assumptions and a value is explored as a </w:t>
            </w:r>
            <w:r w:rsidR="00017526" w:rsidRPr="00552CEE">
              <w:rPr>
                <w:sz w:val="18"/>
                <w:szCs w:val="18"/>
              </w:rPr>
              <w:t>sensitivity</w:t>
            </w:r>
          </w:p>
        </w:tc>
      </w:tr>
      <w:tr w:rsidR="00E26F82" w:rsidRPr="00E26F82" w14:paraId="4FC1E4C5" w14:textId="77777777" w:rsidTr="00C67969">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127" w:type="dxa"/>
            <w:hideMark/>
          </w:tcPr>
          <w:p w14:paraId="5A91910A" w14:textId="77777777" w:rsidR="003F1EB3" w:rsidRPr="00E26F82" w:rsidRDefault="003F1EB3" w:rsidP="003E1BD4">
            <w:pPr>
              <w:rPr>
                <w:b w:val="0"/>
                <w:bCs w:val="0"/>
                <w:color w:val="000000" w:themeColor="text1"/>
                <w:sz w:val="18"/>
                <w:szCs w:val="18"/>
              </w:rPr>
            </w:pPr>
            <w:r w:rsidRPr="00E26F82">
              <w:rPr>
                <w:color w:val="000000" w:themeColor="text1"/>
                <w:sz w:val="18"/>
                <w:szCs w:val="18"/>
              </w:rPr>
              <w:t>CAPEX costs and spending profile</w:t>
            </w:r>
          </w:p>
        </w:tc>
        <w:tc>
          <w:tcPr>
            <w:tcW w:w="3118" w:type="dxa"/>
          </w:tcPr>
          <w:p w14:paraId="1D7602E1" w14:textId="4062DB64" w:rsidR="003F1EB3" w:rsidRPr="00E26F82" w:rsidRDefault="003F1EB3" w:rsidP="003E1BD4">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26F82">
              <w:rPr>
                <w:color w:val="000000" w:themeColor="text1"/>
                <w:sz w:val="18"/>
                <w:szCs w:val="18"/>
              </w:rPr>
              <w:t>£</w:t>
            </w:r>
            <w:r w:rsidR="00DA51D9" w:rsidRPr="00E26F82">
              <w:rPr>
                <w:color w:val="000000" w:themeColor="text1"/>
                <w:sz w:val="18"/>
                <w:szCs w:val="18"/>
              </w:rPr>
              <w:t>2473</w:t>
            </w:r>
            <w:r w:rsidRPr="00E26F82">
              <w:rPr>
                <w:color w:val="000000" w:themeColor="text1"/>
                <w:sz w:val="18"/>
                <w:szCs w:val="18"/>
              </w:rPr>
              <w:t xml:space="preserve"> / kW </w:t>
            </w:r>
          </w:p>
          <w:p w14:paraId="535927D6" w14:textId="77777777" w:rsidR="003F1EB3" w:rsidRPr="00E26F82" w:rsidRDefault="003F1EB3" w:rsidP="003E1BD4">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14:paraId="1E5A1C21" w14:textId="469EDED3" w:rsidR="003F1EB3" w:rsidRPr="00E26F82" w:rsidRDefault="003F1EB3" w:rsidP="003E1BD4">
            <w:pPr>
              <w:cnfStyle w:val="000000100000" w:firstRow="0" w:lastRow="0" w:firstColumn="0" w:lastColumn="0" w:oddVBand="0" w:evenVBand="0" w:oddHBand="1" w:evenHBand="0" w:firstRowFirstColumn="0" w:firstRowLastColumn="0" w:lastRowFirstColumn="0" w:lastRowLastColumn="0"/>
              <w:rPr>
                <w:b/>
                <w:bCs/>
                <w:color w:val="000000" w:themeColor="text1"/>
                <w:sz w:val="18"/>
                <w:szCs w:val="18"/>
              </w:rPr>
            </w:pPr>
          </w:p>
        </w:tc>
        <w:tc>
          <w:tcPr>
            <w:tcW w:w="4536" w:type="dxa"/>
          </w:tcPr>
          <w:p w14:paraId="01F5DA3C" w14:textId="1C94FD6C" w:rsidR="003F1EB3" w:rsidRPr="00E26F82" w:rsidRDefault="0018171C" w:rsidP="003E1BD4">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26F82">
              <w:rPr>
                <w:color w:val="000000" w:themeColor="text1"/>
                <w:sz w:val="18"/>
                <w:szCs w:val="18"/>
              </w:rPr>
              <w:t>DESNZ Administrative Strike Price assumptions for AR6 (Note this is also inline with new assumptions included in DESNZ’s 202</w:t>
            </w:r>
            <w:r w:rsidR="00E26F82">
              <w:rPr>
                <w:color w:val="000000" w:themeColor="text1"/>
                <w:sz w:val="18"/>
                <w:szCs w:val="18"/>
              </w:rPr>
              <w:t>3</w:t>
            </w:r>
            <w:r w:rsidRPr="00E26F82">
              <w:rPr>
                <w:color w:val="000000" w:themeColor="text1"/>
                <w:sz w:val="18"/>
                <w:szCs w:val="18"/>
              </w:rPr>
              <w:t xml:space="preserve"> Generation Cost Report (GCR25)</w:t>
            </w:r>
          </w:p>
        </w:tc>
      </w:tr>
      <w:tr w:rsidR="00E26F82" w:rsidRPr="00E26F82" w14:paraId="2D3826D3" w14:textId="77777777" w:rsidTr="00C67969">
        <w:trPr>
          <w:trHeight w:val="485"/>
        </w:trPr>
        <w:tc>
          <w:tcPr>
            <w:cnfStyle w:val="001000000000" w:firstRow="0" w:lastRow="0" w:firstColumn="1" w:lastColumn="0" w:oddVBand="0" w:evenVBand="0" w:oddHBand="0" w:evenHBand="0" w:firstRowFirstColumn="0" w:firstRowLastColumn="0" w:lastRowFirstColumn="0" w:lastRowLastColumn="0"/>
            <w:tcW w:w="2127" w:type="dxa"/>
            <w:hideMark/>
          </w:tcPr>
          <w:p w14:paraId="5C724384" w14:textId="77777777" w:rsidR="003F1EB3" w:rsidRPr="00E26F82" w:rsidRDefault="003F1EB3" w:rsidP="003E1BD4">
            <w:pPr>
              <w:rPr>
                <w:b w:val="0"/>
                <w:bCs w:val="0"/>
                <w:color w:val="000000" w:themeColor="text1"/>
                <w:sz w:val="18"/>
                <w:szCs w:val="18"/>
              </w:rPr>
            </w:pPr>
            <w:r w:rsidRPr="00E26F82">
              <w:rPr>
                <w:color w:val="000000" w:themeColor="text1"/>
                <w:sz w:val="18"/>
                <w:szCs w:val="18"/>
              </w:rPr>
              <w:t>Grid connection costs</w:t>
            </w:r>
          </w:p>
        </w:tc>
        <w:tc>
          <w:tcPr>
            <w:tcW w:w="3118" w:type="dxa"/>
          </w:tcPr>
          <w:p w14:paraId="269509A7" w14:textId="2B08A9D4" w:rsidR="003F1EB3" w:rsidRPr="00E26F82" w:rsidRDefault="003F1EB3" w:rsidP="003E1BD4">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26F82">
              <w:rPr>
                <w:color w:val="000000" w:themeColor="text1"/>
                <w:sz w:val="18"/>
                <w:szCs w:val="18"/>
              </w:rPr>
              <w:t>£1</w:t>
            </w:r>
            <w:r w:rsidR="00DA51D9" w:rsidRPr="00E26F82">
              <w:rPr>
                <w:color w:val="000000" w:themeColor="text1"/>
                <w:sz w:val="18"/>
                <w:szCs w:val="18"/>
              </w:rPr>
              <w:t>57</w:t>
            </w:r>
            <w:r w:rsidRPr="00E26F82">
              <w:rPr>
                <w:color w:val="000000" w:themeColor="text1"/>
                <w:sz w:val="18"/>
                <w:szCs w:val="18"/>
              </w:rPr>
              <w:t xml:space="preserve"> / kW</w:t>
            </w:r>
          </w:p>
          <w:p w14:paraId="3EA01852" w14:textId="77777777" w:rsidR="003F1EB3" w:rsidRPr="00E26F82" w:rsidRDefault="003F1EB3" w:rsidP="003E1BD4">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1ED1D4A9" w14:textId="0667FB77" w:rsidR="003F1EB3" w:rsidRPr="00E26F82" w:rsidRDefault="003F1EB3" w:rsidP="003E1BD4">
            <w:pPr>
              <w:cnfStyle w:val="000000000000" w:firstRow="0" w:lastRow="0" w:firstColumn="0" w:lastColumn="0" w:oddVBand="0" w:evenVBand="0" w:oddHBand="0" w:evenHBand="0" w:firstRowFirstColumn="0" w:firstRowLastColumn="0" w:lastRowFirstColumn="0" w:lastRowLastColumn="0"/>
              <w:rPr>
                <w:b/>
                <w:bCs/>
                <w:color w:val="000000" w:themeColor="text1"/>
                <w:sz w:val="18"/>
                <w:szCs w:val="18"/>
              </w:rPr>
            </w:pPr>
          </w:p>
        </w:tc>
        <w:tc>
          <w:tcPr>
            <w:tcW w:w="4536" w:type="dxa"/>
          </w:tcPr>
          <w:p w14:paraId="42D62AE3" w14:textId="0F8030AD" w:rsidR="003F1EB3" w:rsidRPr="00E26F82" w:rsidRDefault="003F1EB3" w:rsidP="003E1BD4">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r>
      <w:tr w:rsidR="003F1EB3" w:rsidRPr="00552CEE" w14:paraId="75269D0A" w14:textId="77777777" w:rsidTr="00C67969">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127" w:type="dxa"/>
            <w:hideMark/>
          </w:tcPr>
          <w:p w14:paraId="5E3636C1" w14:textId="77777777" w:rsidR="003F1EB3" w:rsidRPr="00552CEE" w:rsidRDefault="003F1EB3" w:rsidP="003E1BD4">
            <w:pPr>
              <w:rPr>
                <w:b w:val="0"/>
                <w:bCs w:val="0"/>
                <w:sz w:val="18"/>
                <w:szCs w:val="18"/>
              </w:rPr>
            </w:pPr>
            <w:r w:rsidRPr="00552CEE">
              <w:rPr>
                <w:sz w:val="18"/>
                <w:szCs w:val="18"/>
              </w:rPr>
              <w:t>Annual fixed O&amp;M</w:t>
            </w:r>
          </w:p>
        </w:tc>
        <w:tc>
          <w:tcPr>
            <w:tcW w:w="3118" w:type="dxa"/>
          </w:tcPr>
          <w:p w14:paraId="60DF7C9A" w14:textId="6986D01F" w:rsidR="003F1EB3" w:rsidRPr="00552CEE" w:rsidRDefault="003F1EB3" w:rsidP="003E1BD4">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w:t>
            </w:r>
            <w:r w:rsidR="00DA51D9" w:rsidRPr="00552CEE">
              <w:rPr>
                <w:lang w:val="en-GB"/>
              </w:rPr>
              <w:t>53</w:t>
            </w:r>
            <w:r w:rsidRPr="00552CEE">
              <w:rPr>
                <w:lang w:val="en-GB"/>
              </w:rPr>
              <w:t xml:space="preserve"> / kW</w:t>
            </w:r>
          </w:p>
          <w:p w14:paraId="78BC0EC3" w14:textId="77777777" w:rsidR="003F1EB3" w:rsidRPr="00552CEE" w:rsidRDefault="003F1EB3" w:rsidP="003E1BD4">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p>
          <w:p w14:paraId="618F417A" w14:textId="0928CC33" w:rsidR="003F1EB3" w:rsidRPr="00552CEE" w:rsidRDefault="003F1EB3" w:rsidP="003E1BD4">
            <w:pPr>
              <w:pStyle w:val="ListinTable"/>
              <w:ind w:left="0" w:firstLine="0"/>
              <w:cnfStyle w:val="000000100000" w:firstRow="0" w:lastRow="0" w:firstColumn="0" w:lastColumn="0" w:oddVBand="0" w:evenVBand="0" w:oddHBand="1" w:evenHBand="0" w:firstRowFirstColumn="0" w:firstRowLastColumn="0" w:lastRowFirstColumn="0" w:lastRowLastColumn="0"/>
              <w:rPr>
                <w:b/>
                <w:bCs/>
                <w:lang w:val="en-GB"/>
              </w:rPr>
            </w:pPr>
          </w:p>
        </w:tc>
        <w:tc>
          <w:tcPr>
            <w:tcW w:w="4536" w:type="dxa"/>
          </w:tcPr>
          <w:p w14:paraId="4FCFE23A" w14:textId="4A8F0C4A" w:rsidR="003F1EB3" w:rsidRPr="00552CEE" w:rsidRDefault="0018171C" w:rsidP="003E1BD4">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Based on the 2023 Generation cost report (</w:t>
            </w:r>
            <w:r w:rsidR="003F1EB3" w:rsidRPr="00552CEE">
              <w:rPr>
                <w:sz w:val="18"/>
                <w:szCs w:val="18"/>
              </w:rPr>
              <w:t>GCR23</w:t>
            </w:r>
            <w:r w:rsidRPr="00552CEE">
              <w:rPr>
                <w:sz w:val="18"/>
                <w:szCs w:val="18"/>
              </w:rPr>
              <w:t>)</w:t>
            </w:r>
            <w:r w:rsidR="003F1EB3" w:rsidRPr="00552CEE">
              <w:rPr>
                <w:sz w:val="18"/>
                <w:szCs w:val="18"/>
              </w:rPr>
              <w:t xml:space="preserve"> Central estimate</w:t>
            </w:r>
            <w:r w:rsidR="00D2583A" w:rsidRPr="00552CEE">
              <w:rPr>
                <w:sz w:val="18"/>
                <w:szCs w:val="18"/>
              </w:rPr>
              <w:t xml:space="preserve"> </w:t>
            </w:r>
          </w:p>
        </w:tc>
      </w:tr>
      <w:tr w:rsidR="003F1EB3" w:rsidRPr="00552CEE" w14:paraId="66C17A4C" w14:textId="77777777" w:rsidTr="00C67969">
        <w:trPr>
          <w:trHeight w:val="234"/>
        </w:trPr>
        <w:tc>
          <w:tcPr>
            <w:cnfStyle w:val="001000000000" w:firstRow="0" w:lastRow="0" w:firstColumn="1" w:lastColumn="0" w:oddVBand="0" w:evenVBand="0" w:oddHBand="0" w:evenHBand="0" w:firstRowFirstColumn="0" w:firstRowLastColumn="0" w:lastRowFirstColumn="0" w:lastRowLastColumn="0"/>
            <w:tcW w:w="2127" w:type="dxa"/>
            <w:hideMark/>
          </w:tcPr>
          <w:p w14:paraId="65637DE5" w14:textId="77777777" w:rsidR="003F1EB3" w:rsidRPr="00552CEE" w:rsidRDefault="003F1EB3" w:rsidP="003E1BD4">
            <w:pPr>
              <w:rPr>
                <w:b w:val="0"/>
                <w:bCs w:val="0"/>
                <w:sz w:val="18"/>
                <w:szCs w:val="18"/>
              </w:rPr>
            </w:pPr>
            <w:r w:rsidRPr="00552CEE">
              <w:rPr>
                <w:sz w:val="18"/>
                <w:szCs w:val="18"/>
              </w:rPr>
              <w:t>Variable O&amp;M</w:t>
            </w:r>
          </w:p>
        </w:tc>
        <w:tc>
          <w:tcPr>
            <w:tcW w:w="3118" w:type="dxa"/>
          </w:tcPr>
          <w:p w14:paraId="34E19E5F" w14:textId="77D9C4CB" w:rsidR="003F1EB3" w:rsidRPr="00552CEE" w:rsidRDefault="003F1EB3" w:rsidP="003E1BD4">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w:t>
            </w:r>
            <w:r w:rsidR="00DA51D9" w:rsidRPr="00552CEE">
              <w:rPr>
                <w:lang w:val="en-GB"/>
              </w:rPr>
              <w:t>1.24</w:t>
            </w:r>
            <w:r w:rsidRPr="00552CEE">
              <w:rPr>
                <w:lang w:val="en-GB"/>
              </w:rPr>
              <w:t xml:space="preserve"> / MWh</w:t>
            </w:r>
          </w:p>
          <w:p w14:paraId="4E8576BB" w14:textId="77777777" w:rsidR="003F1EB3" w:rsidRPr="00552CEE" w:rsidRDefault="003F1EB3" w:rsidP="003E1BD4">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p>
          <w:p w14:paraId="7128C410" w14:textId="785FAACF" w:rsidR="003F1EB3" w:rsidRPr="00552CEE" w:rsidRDefault="003F1EB3" w:rsidP="003E1BD4">
            <w:pPr>
              <w:pStyle w:val="ListinTable"/>
              <w:ind w:left="0" w:firstLine="0"/>
              <w:cnfStyle w:val="000000000000" w:firstRow="0" w:lastRow="0" w:firstColumn="0" w:lastColumn="0" w:oddVBand="0" w:evenVBand="0" w:oddHBand="0" w:evenHBand="0" w:firstRowFirstColumn="0" w:firstRowLastColumn="0" w:lastRowFirstColumn="0" w:lastRowLastColumn="0"/>
              <w:rPr>
                <w:b/>
                <w:bCs/>
                <w:lang w:val="en-GB"/>
              </w:rPr>
            </w:pPr>
          </w:p>
        </w:tc>
        <w:tc>
          <w:tcPr>
            <w:tcW w:w="4536" w:type="dxa"/>
          </w:tcPr>
          <w:p w14:paraId="43F69BBD" w14:textId="1A98C787" w:rsidR="003F1EB3" w:rsidRPr="00552CEE" w:rsidRDefault="003F1EB3" w:rsidP="003E1BD4">
            <w:pPr>
              <w:cnfStyle w:val="000000000000" w:firstRow="0" w:lastRow="0" w:firstColumn="0" w:lastColumn="0" w:oddVBand="0" w:evenVBand="0" w:oddHBand="0" w:evenHBand="0" w:firstRowFirstColumn="0" w:firstRowLastColumn="0" w:lastRowFirstColumn="0" w:lastRowLastColumn="0"/>
              <w:rPr>
                <w:b/>
                <w:bCs/>
                <w:sz w:val="18"/>
                <w:szCs w:val="18"/>
              </w:rPr>
            </w:pPr>
            <w:r w:rsidRPr="00552CEE">
              <w:rPr>
                <w:sz w:val="18"/>
                <w:szCs w:val="18"/>
              </w:rPr>
              <w:t>GCR23 Central estimate</w:t>
            </w:r>
            <w:r w:rsidR="00D2583A" w:rsidRPr="00552CEE">
              <w:rPr>
                <w:sz w:val="18"/>
                <w:szCs w:val="18"/>
              </w:rPr>
              <w:t xml:space="preserve">  </w:t>
            </w:r>
          </w:p>
        </w:tc>
      </w:tr>
      <w:tr w:rsidR="003F1EB3" w:rsidRPr="00552CEE" w14:paraId="61441546" w14:textId="77777777" w:rsidTr="00C6796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tcPr>
          <w:p w14:paraId="277DB13E" w14:textId="77777777" w:rsidR="003F1EB3" w:rsidRPr="00552CEE" w:rsidRDefault="003F1EB3" w:rsidP="003E1BD4">
            <w:pPr>
              <w:rPr>
                <w:b w:val="0"/>
                <w:bCs w:val="0"/>
                <w:sz w:val="18"/>
                <w:szCs w:val="18"/>
              </w:rPr>
            </w:pPr>
            <w:r w:rsidRPr="00552CEE">
              <w:rPr>
                <w:sz w:val="18"/>
                <w:szCs w:val="18"/>
              </w:rPr>
              <w:t>TNUoS</w:t>
            </w:r>
          </w:p>
        </w:tc>
        <w:tc>
          <w:tcPr>
            <w:tcW w:w="3118" w:type="dxa"/>
          </w:tcPr>
          <w:p w14:paraId="162BA1DC" w14:textId="280F14F6" w:rsidR="003F1EB3" w:rsidRPr="00552CEE" w:rsidRDefault="000F2494" w:rsidP="003E1BD4">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£10 / kW in 202</w:t>
            </w:r>
            <w:r w:rsidR="000F4A0E" w:rsidRPr="00552CEE">
              <w:rPr>
                <w:lang w:val="en-GB"/>
              </w:rPr>
              <w:t xml:space="preserve">6 rising to £21 /kW in 2033 and remaining </w:t>
            </w:r>
            <w:r w:rsidR="004E089A" w:rsidRPr="00552CEE">
              <w:rPr>
                <w:lang w:val="en-GB"/>
              </w:rPr>
              <w:t>constant</w:t>
            </w:r>
            <w:r w:rsidR="000F4A0E" w:rsidRPr="00552CEE">
              <w:rPr>
                <w:lang w:val="en-GB"/>
              </w:rPr>
              <w:t xml:space="preserve"> for the rest of the operating timescale</w:t>
            </w:r>
          </w:p>
          <w:p w14:paraId="22ED2C4C" w14:textId="0340E0A5" w:rsidR="003F1EB3" w:rsidRPr="00552CEE" w:rsidRDefault="003F1EB3" w:rsidP="003E1BD4">
            <w:pPr>
              <w:pStyle w:val="ListinTable"/>
              <w:ind w:left="0" w:firstLine="0"/>
              <w:cnfStyle w:val="000000100000" w:firstRow="0" w:lastRow="0" w:firstColumn="0" w:lastColumn="0" w:oddVBand="0" w:evenVBand="0" w:oddHBand="1" w:evenHBand="0" w:firstRowFirstColumn="0" w:firstRowLastColumn="0" w:lastRowFirstColumn="0" w:lastRowLastColumn="0"/>
              <w:rPr>
                <w:b/>
                <w:bCs/>
                <w:lang w:val="en-GB"/>
              </w:rPr>
            </w:pPr>
          </w:p>
        </w:tc>
        <w:tc>
          <w:tcPr>
            <w:tcW w:w="4536" w:type="dxa"/>
          </w:tcPr>
          <w:p w14:paraId="7FC91BFF" w14:textId="2A02E566" w:rsidR="003F1EB3" w:rsidRPr="00552CEE" w:rsidRDefault="005D21DA" w:rsidP="003E1BD4">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 xml:space="preserve">This is based on expected TNUoS charges for the </w:t>
            </w:r>
            <w:r w:rsidR="00957171" w:rsidRPr="00552CEE">
              <w:rPr>
                <w:sz w:val="18"/>
                <w:szCs w:val="18"/>
              </w:rPr>
              <w:t>Southeast</w:t>
            </w:r>
            <w:r w:rsidRPr="00552CEE">
              <w:rPr>
                <w:sz w:val="18"/>
                <w:szCs w:val="18"/>
              </w:rPr>
              <w:t xml:space="preserve"> Scotland Lothians region and is broadly reflective of the 2023 ‘Ten Year Forecast’ and 2025 ‘</w:t>
            </w:r>
            <w:r w:rsidR="00957171" w:rsidRPr="00552CEE">
              <w:rPr>
                <w:sz w:val="18"/>
                <w:szCs w:val="18"/>
              </w:rPr>
              <w:t>five-year</w:t>
            </w:r>
            <w:r w:rsidRPr="00552CEE">
              <w:rPr>
                <w:sz w:val="18"/>
                <w:szCs w:val="18"/>
              </w:rPr>
              <w:t xml:space="preserve"> forecast from NESO. </w:t>
            </w:r>
            <w:r w:rsidR="003F1EB3" w:rsidRPr="00552CEE">
              <w:rPr>
                <w:sz w:val="18"/>
                <w:szCs w:val="18"/>
              </w:rPr>
              <w:t xml:space="preserve"> </w:t>
            </w:r>
          </w:p>
        </w:tc>
      </w:tr>
      <w:tr w:rsidR="003F1EB3" w:rsidRPr="00552CEE" w14:paraId="0E83E75C" w14:textId="77777777" w:rsidTr="00C67969">
        <w:trPr>
          <w:trHeight w:val="234"/>
        </w:trPr>
        <w:tc>
          <w:tcPr>
            <w:cnfStyle w:val="001000000000" w:firstRow="0" w:lastRow="0" w:firstColumn="1" w:lastColumn="0" w:oddVBand="0" w:evenVBand="0" w:oddHBand="0" w:evenHBand="0" w:firstRowFirstColumn="0" w:firstRowLastColumn="0" w:lastRowFirstColumn="0" w:lastRowLastColumn="0"/>
            <w:tcW w:w="2127" w:type="dxa"/>
          </w:tcPr>
          <w:p w14:paraId="0BF10037" w14:textId="77777777" w:rsidR="003F1EB3" w:rsidRPr="00552CEE" w:rsidRDefault="003F1EB3" w:rsidP="003E1BD4">
            <w:pPr>
              <w:rPr>
                <w:b w:val="0"/>
                <w:bCs w:val="0"/>
                <w:sz w:val="18"/>
                <w:szCs w:val="18"/>
              </w:rPr>
            </w:pPr>
            <w:r w:rsidRPr="00552CEE">
              <w:rPr>
                <w:sz w:val="18"/>
                <w:szCs w:val="18"/>
              </w:rPr>
              <w:t>CfD price (for years 1 – 15)</w:t>
            </w:r>
          </w:p>
        </w:tc>
        <w:tc>
          <w:tcPr>
            <w:tcW w:w="3118" w:type="dxa"/>
          </w:tcPr>
          <w:p w14:paraId="37A1F308" w14:textId="658D0F7A" w:rsidR="003F1EB3" w:rsidRPr="00552CEE" w:rsidRDefault="003F1EB3" w:rsidP="003E1BD4">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w:t>
            </w:r>
            <w:r w:rsidR="00DA51D9" w:rsidRPr="00552CEE">
              <w:rPr>
                <w:lang w:val="en-GB"/>
              </w:rPr>
              <w:t>84</w:t>
            </w:r>
            <w:r w:rsidRPr="00552CEE">
              <w:rPr>
                <w:lang w:val="en-GB"/>
              </w:rPr>
              <w:t>.</w:t>
            </w:r>
            <w:r w:rsidR="00DA51D9" w:rsidRPr="00552CEE">
              <w:rPr>
                <w:lang w:val="en-GB"/>
              </w:rPr>
              <w:t>63</w:t>
            </w:r>
            <w:r w:rsidRPr="00552CEE">
              <w:rPr>
                <w:lang w:val="en-GB"/>
              </w:rPr>
              <w:t xml:space="preserve"> / MWh (2025 prices) </w:t>
            </w:r>
          </w:p>
          <w:p w14:paraId="5AF54475" w14:textId="6DF6F7B3" w:rsidR="003F1EB3" w:rsidRPr="00552CEE" w:rsidRDefault="003F1EB3" w:rsidP="003E1BD4">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£5</w:t>
            </w:r>
            <w:r w:rsidR="00DA51D9" w:rsidRPr="00552CEE">
              <w:rPr>
                <w:lang w:val="en-GB"/>
              </w:rPr>
              <w:t>8</w:t>
            </w:r>
            <w:r w:rsidR="005D21DA" w:rsidRPr="00552CEE">
              <w:rPr>
                <w:lang w:val="en-GB"/>
              </w:rPr>
              <w:t>.</w:t>
            </w:r>
            <w:r w:rsidR="00DA51D9" w:rsidRPr="00552CEE">
              <w:rPr>
                <w:lang w:val="en-GB"/>
              </w:rPr>
              <w:t>87</w:t>
            </w:r>
            <w:r w:rsidRPr="00552CEE">
              <w:rPr>
                <w:lang w:val="en-GB"/>
              </w:rPr>
              <w:t xml:space="preserve"> / MWh (2012 prices)</w:t>
            </w:r>
          </w:p>
          <w:p w14:paraId="0E503272" w14:textId="77777777" w:rsidR="003F1EB3" w:rsidRPr="00552CEE" w:rsidRDefault="003F1EB3" w:rsidP="003E1BD4">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p>
          <w:p w14:paraId="35ABEF25" w14:textId="6F97B779" w:rsidR="003F1EB3" w:rsidRPr="00552CEE" w:rsidRDefault="003F1EB3" w:rsidP="003E1BD4">
            <w:pPr>
              <w:pStyle w:val="ListinTable"/>
              <w:ind w:left="0" w:firstLine="0"/>
              <w:cnfStyle w:val="000000000000" w:firstRow="0" w:lastRow="0" w:firstColumn="0" w:lastColumn="0" w:oddVBand="0" w:evenVBand="0" w:oddHBand="0" w:evenHBand="0" w:firstRowFirstColumn="0" w:firstRowLastColumn="0" w:lastRowFirstColumn="0" w:lastRowLastColumn="0"/>
              <w:rPr>
                <w:b/>
                <w:bCs/>
                <w:lang w:val="en-GB"/>
              </w:rPr>
            </w:pPr>
          </w:p>
        </w:tc>
        <w:tc>
          <w:tcPr>
            <w:tcW w:w="4536" w:type="dxa"/>
          </w:tcPr>
          <w:p w14:paraId="20022CF8" w14:textId="7D2E83E2" w:rsidR="003F1EB3" w:rsidRPr="00552CEE" w:rsidRDefault="003F1EB3" w:rsidP="003E1BD4">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 xml:space="preserve">Reflects A6 clearing prices </w:t>
            </w:r>
          </w:p>
        </w:tc>
      </w:tr>
      <w:tr w:rsidR="003F1EB3" w:rsidRPr="00552CEE" w14:paraId="59BDA0D7" w14:textId="77777777" w:rsidTr="00C67969">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127" w:type="dxa"/>
          </w:tcPr>
          <w:p w14:paraId="754F6FE9" w14:textId="1048B982" w:rsidR="003F1EB3" w:rsidRPr="00552CEE" w:rsidRDefault="003F1EB3" w:rsidP="003E1BD4">
            <w:pPr>
              <w:rPr>
                <w:sz w:val="18"/>
                <w:szCs w:val="18"/>
              </w:rPr>
            </w:pPr>
            <w:r w:rsidRPr="00552CEE">
              <w:rPr>
                <w:sz w:val="18"/>
                <w:szCs w:val="18"/>
              </w:rPr>
              <w:t>Wind c</w:t>
            </w:r>
            <w:r w:rsidR="000026C0" w:rsidRPr="00552CEE">
              <w:rPr>
                <w:sz w:val="18"/>
                <w:szCs w:val="18"/>
              </w:rPr>
              <w:t xml:space="preserve">apture </w:t>
            </w:r>
            <w:r w:rsidRPr="00552CEE">
              <w:rPr>
                <w:sz w:val="18"/>
                <w:szCs w:val="18"/>
              </w:rPr>
              <w:t>price</w:t>
            </w:r>
            <w:r w:rsidR="000026C0" w:rsidRPr="00552CEE">
              <w:rPr>
                <w:sz w:val="18"/>
                <w:szCs w:val="18"/>
              </w:rPr>
              <w:t xml:space="preserve"> for merchant tail period</w:t>
            </w:r>
          </w:p>
        </w:tc>
        <w:tc>
          <w:tcPr>
            <w:tcW w:w="3118" w:type="dxa"/>
          </w:tcPr>
          <w:p w14:paraId="03854665" w14:textId="21AC2195" w:rsidR="003F1EB3" w:rsidRPr="00552CEE" w:rsidRDefault="003F1EB3" w:rsidP="003E1BD4">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£5</w:t>
            </w:r>
            <w:r w:rsidR="00DA51D9" w:rsidRPr="00552CEE">
              <w:rPr>
                <w:lang w:val="en-GB"/>
              </w:rPr>
              <w:t>4</w:t>
            </w:r>
            <w:r w:rsidRPr="00552CEE">
              <w:rPr>
                <w:lang w:val="en-GB"/>
              </w:rPr>
              <w:t>.</w:t>
            </w:r>
            <w:r w:rsidR="00DA51D9" w:rsidRPr="00552CEE">
              <w:rPr>
                <w:lang w:val="en-GB"/>
              </w:rPr>
              <w:t>37</w:t>
            </w:r>
            <w:r w:rsidRPr="00552CEE">
              <w:rPr>
                <w:lang w:val="en-GB"/>
              </w:rPr>
              <w:t xml:space="preserve"> / MWh (</w:t>
            </w:r>
            <w:r w:rsidR="00DA51D9" w:rsidRPr="00552CEE">
              <w:rPr>
                <w:lang w:val="en-GB"/>
              </w:rPr>
              <w:t>30</w:t>
            </w:r>
            <w:r w:rsidRPr="00552CEE">
              <w:rPr>
                <w:lang w:val="en-GB"/>
              </w:rPr>
              <w:t xml:space="preserve">% </w:t>
            </w:r>
            <w:r w:rsidR="009E4B3C" w:rsidRPr="00552CEE">
              <w:rPr>
                <w:lang w:val="en-GB"/>
              </w:rPr>
              <w:t xml:space="preserve">discount </w:t>
            </w:r>
            <w:r w:rsidRPr="00552CEE">
              <w:rPr>
                <w:lang w:val="en-GB"/>
              </w:rPr>
              <w:t>on projected wholesale prices)</w:t>
            </w:r>
          </w:p>
          <w:p w14:paraId="2AEA30D6" w14:textId="77777777" w:rsidR="003F1EB3" w:rsidRPr="00552CEE" w:rsidRDefault="003F1EB3" w:rsidP="003E1BD4">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p>
          <w:p w14:paraId="756058A8" w14:textId="3E8DF41F" w:rsidR="003F1EB3" w:rsidRPr="00552CEE" w:rsidRDefault="003F1EB3" w:rsidP="003E1BD4">
            <w:pPr>
              <w:pStyle w:val="ListinTable"/>
              <w:ind w:left="0" w:firstLine="0"/>
              <w:cnfStyle w:val="000000100000" w:firstRow="0" w:lastRow="0" w:firstColumn="0" w:lastColumn="0" w:oddVBand="0" w:evenVBand="0" w:oddHBand="1" w:evenHBand="0" w:firstRowFirstColumn="0" w:firstRowLastColumn="0" w:lastRowFirstColumn="0" w:lastRowLastColumn="0"/>
              <w:rPr>
                <w:b/>
                <w:bCs/>
                <w:lang w:val="en-GB"/>
              </w:rPr>
            </w:pPr>
          </w:p>
        </w:tc>
        <w:tc>
          <w:tcPr>
            <w:tcW w:w="4536" w:type="dxa"/>
          </w:tcPr>
          <w:p w14:paraId="5FCD1579" w14:textId="41FC1D3D" w:rsidR="003F1EB3" w:rsidRPr="00552CEE" w:rsidRDefault="003F1EB3" w:rsidP="003E1BD4">
            <w:pPr>
              <w:cnfStyle w:val="000000100000" w:firstRow="0" w:lastRow="0" w:firstColumn="0" w:lastColumn="0" w:oddVBand="0" w:evenVBand="0" w:oddHBand="1" w:evenHBand="0" w:firstRowFirstColumn="0" w:firstRowLastColumn="0" w:lastRowFirstColumn="0" w:lastRowLastColumn="0"/>
              <w:rPr>
                <w:sz w:val="18"/>
                <w:szCs w:val="18"/>
              </w:rPr>
            </w:pPr>
          </w:p>
        </w:tc>
      </w:tr>
      <w:tr w:rsidR="002D21FD" w:rsidRPr="00552CEE" w14:paraId="67F0D2C2" w14:textId="77777777" w:rsidTr="00C67969">
        <w:trPr>
          <w:trHeight w:val="234"/>
        </w:trPr>
        <w:tc>
          <w:tcPr>
            <w:cnfStyle w:val="001000000000" w:firstRow="0" w:lastRow="0" w:firstColumn="1" w:lastColumn="0" w:oddVBand="0" w:evenVBand="0" w:oddHBand="0" w:evenHBand="0" w:firstRowFirstColumn="0" w:firstRowLastColumn="0" w:lastRowFirstColumn="0" w:lastRowLastColumn="0"/>
            <w:tcW w:w="2127" w:type="dxa"/>
          </w:tcPr>
          <w:p w14:paraId="4AD742E4" w14:textId="17779BA8" w:rsidR="002D21FD" w:rsidRPr="00552CEE" w:rsidRDefault="002D21FD" w:rsidP="003E1BD4">
            <w:pPr>
              <w:rPr>
                <w:sz w:val="18"/>
                <w:szCs w:val="18"/>
              </w:rPr>
            </w:pPr>
            <w:r w:rsidRPr="00552CEE">
              <w:rPr>
                <w:sz w:val="18"/>
                <w:szCs w:val="18"/>
              </w:rPr>
              <w:t xml:space="preserve">Economic </w:t>
            </w:r>
            <w:r w:rsidR="00957171" w:rsidRPr="00552CEE">
              <w:rPr>
                <w:sz w:val="18"/>
                <w:szCs w:val="18"/>
              </w:rPr>
              <w:t>curtailment</w:t>
            </w:r>
            <w:r w:rsidRPr="00552CEE">
              <w:rPr>
                <w:sz w:val="18"/>
                <w:szCs w:val="18"/>
              </w:rPr>
              <w:t xml:space="preserve"> levels</w:t>
            </w:r>
          </w:p>
        </w:tc>
        <w:tc>
          <w:tcPr>
            <w:tcW w:w="3118" w:type="dxa"/>
          </w:tcPr>
          <w:p w14:paraId="3F2DFCDF" w14:textId="363833C1" w:rsidR="002D21FD" w:rsidRPr="00552CEE" w:rsidRDefault="00EA3D87" w:rsidP="003E1BD4">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 xml:space="preserve">3% of lifetime output </w:t>
            </w:r>
          </w:p>
        </w:tc>
        <w:tc>
          <w:tcPr>
            <w:tcW w:w="4536" w:type="dxa"/>
          </w:tcPr>
          <w:p w14:paraId="624ABAE5" w14:textId="7C6DB981" w:rsidR="002D21FD" w:rsidRPr="00552CEE" w:rsidRDefault="002D21FD" w:rsidP="003E1BD4">
            <w:pPr>
              <w:cnfStyle w:val="000000000000" w:firstRow="0" w:lastRow="0" w:firstColumn="0" w:lastColumn="0" w:oddVBand="0" w:evenVBand="0" w:oddHBand="0" w:evenHBand="0" w:firstRowFirstColumn="0" w:firstRowLastColumn="0" w:lastRowFirstColumn="0" w:lastRowLastColumn="0"/>
              <w:rPr>
                <w:sz w:val="18"/>
                <w:szCs w:val="18"/>
              </w:rPr>
            </w:pPr>
          </w:p>
        </w:tc>
      </w:tr>
      <w:tr w:rsidR="003F1EB3" w:rsidRPr="00552CEE" w14:paraId="4318826C" w14:textId="77777777" w:rsidTr="00C67969">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127" w:type="dxa"/>
          </w:tcPr>
          <w:p w14:paraId="3DB78E68" w14:textId="77777777" w:rsidR="003F1EB3" w:rsidRPr="00552CEE" w:rsidRDefault="003F1EB3" w:rsidP="003E1BD4">
            <w:pPr>
              <w:rPr>
                <w:sz w:val="18"/>
                <w:szCs w:val="18"/>
              </w:rPr>
            </w:pPr>
            <w:r w:rsidRPr="00552CEE">
              <w:rPr>
                <w:sz w:val="18"/>
                <w:szCs w:val="18"/>
              </w:rPr>
              <w:t>Operational lifetime</w:t>
            </w:r>
          </w:p>
        </w:tc>
        <w:tc>
          <w:tcPr>
            <w:tcW w:w="3118" w:type="dxa"/>
          </w:tcPr>
          <w:p w14:paraId="45DF0BFD" w14:textId="76320DF1" w:rsidR="003F1EB3" w:rsidRPr="00552CEE" w:rsidRDefault="003F1EB3" w:rsidP="003E1BD4">
            <w:pPr>
              <w:pStyle w:val="ListinTable"/>
              <w:ind w:left="0" w:firstLine="0"/>
              <w:cnfStyle w:val="000000100000" w:firstRow="0" w:lastRow="0" w:firstColumn="0" w:lastColumn="0" w:oddVBand="0" w:evenVBand="0" w:oddHBand="1" w:evenHBand="0" w:firstRowFirstColumn="0" w:firstRowLastColumn="0" w:lastRowFirstColumn="0" w:lastRowLastColumn="0"/>
              <w:rPr>
                <w:b/>
                <w:bCs/>
                <w:lang w:val="en-GB"/>
              </w:rPr>
            </w:pPr>
            <w:r w:rsidRPr="00552CEE">
              <w:rPr>
                <w:b/>
                <w:bCs/>
                <w:lang w:val="en-GB"/>
              </w:rPr>
              <w:t>30 years</w:t>
            </w:r>
          </w:p>
        </w:tc>
        <w:tc>
          <w:tcPr>
            <w:tcW w:w="4536" w:type="dxa"/>
          </w:tcPr>
          <w:p w14:paraId="18DBCB72" w14:textId="5B2C98F5" w:rsidR="003F1EB3" w:rsidRPr="00552CEE" w:rsidRDefault="003F1EB3" w:rsidP="003E1BD4">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 xml:space="preserve"> </w:t>
            </w:r>
          </w:p>
        </w:tc>
      </w:tr>
      <w:tr w:rsidR="000026C0" w:rsidRPr="00552CEE" w14:paraId="03536152" w14:textId="77777777" w:rsidTr="00C67969">
        <w:trPr>
          <w:trHeight w:val="234"/>
        </w:trPr>
        <w:tc>
          <w:tcPr>
            <w:cnfStyle w:val="001000000000" w:firstRow="0" w:lastRow="0" w:firstColumn="1" w:lastColumn="0" w:oddVBand="0" w:evenVBand="0" w:oddHBand="0" w:evenHBand="0" w:firstRowFirstColumn="0" w:firstRowLastColumn="0" w:lastRowFirstColumn="0" w:lastRowLastColumn="0"/>
            <w:tcW w:w="2127" w:type="dxa"/>
          </w:tcPr>
          <w:p w14:paraId="4AA7E5D0" w14:textId="48BD2961" w:rsidR="000026C0" w:rsidRPr="00552CEE" w:rsidRDefault="000026C0" w:rsidP="003E1BD4">
            <w:pPr>
              <w:rPr>
                <w:sz w:val="18"/>
                <w:szCs w:val="18"/>
              </w:rPr>
            </w:pPr>
            <w:r w:rsidRPr="00552CEE">
              <w:rPr>
                <w:sz w:val="18"/>
                <w:szCs w:val="18"/>
              </w:rPr>
              <w:t>Decommissioning costs</w:t>
            </w:r>
          </w:p>
        </w:tc>
        <w:tc>
          <w:tcPr>
            <w:tcW w:w="3118" w:type="dxa"/>
          </w:tcPr>
          <w:p w14:paraId="26284517" w14:textId="7A9604D2" w:rsidR="000026C0" w:rsidRPr="00552CEE" w:rsidRDefault="000026C0" w:rsidP="003E1BD4">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Not modelled</w:t>
            </w:r>
          </w:p>
        </w:tc>
        <w:tc>
          <w:tcPr>
            <w:tcW w:w="4536" w:type="dxa"/>
          </w:tcPr>
          <w:p w14:paraId="71EF45BD" w14:textId="77777777" w:rsidR="000026C0" w:rsidRPr="00552CEE" w:rsidRDefault="000026C0" w:rsidP="003E1BD4">
            <w:pPr>
              <w:cnfStyle w:val="000000000000" w:firstRow="0" w:lastRow="0" w:firstColumn="0" w:lastColumn="0" w:oddVBand="0" w:evenVBand="0" w:oddHBand="0" w:evenHBand="0" w:firstRowFirstColumn="0" w:firstRowLastColumn="0" w:lastRowFirstColumn="0" w:lastRowLastColumn="0"/>
              <w:rPr>
                <w:sz w:val="18"/>
                <w:szCs w:val="18"/>
              </w:rPr>
            </w:pPr>
          </w:p>
        </w:tc>
      </w:tr>
    </w:tbl>
    <w:p w14:paraId="5343FF49" w14:textId="77777777" w:rsidR="000604A4" w:rsidRPr="00552CEE" w:rsidRDefault="000604A4" w:rsidP="000604A4"/>
    <w:p w14:paraId="18579744" w14:textId="77777777" w:rsidR="004C16E7" w:rsidRPr="00552CEE" w:rsidRDefault="004C16E7" w:rsidP="000604A4"/>
    <w:p w14:paraId="78772901" w14:textId="77777777" w:rsidR="00957171" w:rsidRPr="00552CEE" w:rsidRDefault="00957171" w:rsidP="000604A4"/>
    <w:p w14:paraId="083C2D2F" w14:textId="77777777" w:rsidR="00957171" w:rsidRPr="00552CEE" w:rsidRDefault="00957171" w:rsidP="000604A4"/>
    <w:p w14:paraId="55877E94" w14:textId="77777777" w:rsidR="00957171" w:rsidRDefault="00957171" w:rsidP="000604A4"/>
    <w:p w14:paraId="1F794100" w14:textId="77777777" w:rsidR="00E26F82" w:rsidRDefault="00E26F82" w:rsidP="000604A4"/>
    <w:p w14:paraId="49C5F207" w14:textId="77777777" w:rsidR="00E26F82" w:rsidRDefault="00E26F82" w:rsidP="000604A4"/>
    <w:p w14:paraId="1C0540ED" w14:textId="77777777" w:rsidR="00E26F82" w:rsidRPr="00552CEE" w:rsidRDefault="00E26F82" w:rsidP="000604A4"/>
    <w:p w14:paraId="69E81A78" w14:textId="15C2AA92" w:rsidR="00A74751" w:rsidRPr="00552CEE" w:rsidRDefault="00A74751" w:rsidP="00A74751">
      <w:pPr>
        <w:pStyle w:val="Caption"/>
        <w:keepNext/>
        <w:jc w:val="center"/>
      </w:pPr>
      <w:r w:rsidRPr="00552CEE">
        <w:lastRenderedPageBreak/>
        <w:t xml:space="preserve">Table </w:t>
      </w:r>
      <w:fldSimple w:instr=" SEQ Table \* ARABIC ">
        <w:r w:rsidR="00BA359F">
          <w:rPr>
            <w:noProof/>
          </w:rPr>
          <w:t>2</w:t>
        </w:r>
      </w:fldSimple>
      <w:r w:rsidRPr="00552CEE">
        <w:t xml:space="preserve">: </w:t>
      </w:r>
      <w:r w:rsidR="004C16E7" w:rsidRPr="00552CEE">
        <w:t>Commercial debt in the project-finance case</w:t>
      </w:r>
    </w:p>
    <w:tbl>
      <w:tblPr>
        <w:tblStyle w:val="PlainTable2"/>
        <w:tblW w:w="9781" w:type="dxa"/>
        <w:tblLook w:val="04A0" w:firstRow="1" w:lastRow="0" w:firstColumn="1" w:lastColumn="0" w:noHBand="0" w:noVBand="1"/>
      </w:tblPr>
      <w:tblGrid>
        <w:gridCol w:w="2127"/>
        <w:gridCol w:w="3118"/>
        <w:gridCol w:w="4536"/>
      </w:tblGrid>
      <w:tr w:rsidR="00A74751" w:rsidRPr="00552CEE" w14:paraId="7222EB83" w14:textId="77777777" w:rsidTr="00036938">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127" w:type="dxa"/>
            <w:shd w:val="clear" w:color="auto" w:fill="AEAAAA" w:themeFill="background2" w:themeFillShade="BF"/>
            <w:hideMark/>
          </w:tcPr>
          <w:p w14:paraId="084C6BED" w14:textId="252630C8" w:rsidR="00A74751" w:rsidRPr="00552CEE" w:rsidRDefault="00A74751" w:rsidP="00995EE5">
            <w:pPr>
              <w:rPr>
                <w:sz w:val="18"/>
                <w:szCs w:val="18"/>
              </w:rPr>
            </w:pPr>
            <w:r w:rsidRPr="00552CEE">
              <w:rPr>
                <w:sz w:val="18"/>
                <w:szCs w:val="18"/>
              </w:rPr>
              <w:t>Par</w:t>
            </w:r>
            <w:r w:rsidR="00D92507" w:rsidRPr="00552CEE">
              <w:rPr>
                <w:sz w:val="18"/>
                <w:szCs w:val="18"/>
              </w:rPr>
              <w:t>a</w:t>
            </w:r>
            <w:r w:rsidRPr="00552CEE">
              <w:rPr>
                <w:sz w:val="18"/>
                <w:szCs w:val="18"/>
              </w:rPr>
              <w:t>meter</w:t>
            </w:r>
          </w:p>
        </w:tc>
        <w:tc>
          <w:tcPr>
            <w:tcW w:w="3118" w:type="dxa"/>
            <w:shd w:val="clear" w:color="auto" w:fill="AEAAAA" w:themeFill="background2" w:themeFillShade="BF"/>
          </w:tcPr>
          <w:p w14:paraId="76D52003" w14:textId="177E2A32" w:rsidR="00A74751" w:rsidRPr="00552CEE" w:rsidRDefault="00A74751" w:rsidP="00995EE5">
            <w:pPr>
              <w:ind w:left="284" w:hanging="284"/>
              <w:cnfStyle w:val="100000000000" w:firstRow="1" w:lastRow="0" w:firstColumn="0" w:lastColumn="0" w:oddVBand="0" w:evenVBand="0" w:oddHBand="0" w:evenHBand="0" w:firstRowFirstColumn="0" w:firstRowLastColumn="0" w:lastRowFirstColumn="0" w:lastRowLastColumn="0"/>
              <w:rPr>
                <w:sz w:val="18"/>
                <w:szCs w:val="18"/>
              </w:rPr>
            </w:pPr>
            <w:r w:rsidRPr="00552CEE">
              <w:rPr>
                <w:sz w:val="18"/>
                <w:szCs w:val="18"/>
              </w:rPr>
              <w:t xml:space="preserve">Basecase </w:t>
            </w:r>
          </w:p>
        </w:tc>
        <w:tc>
          <w:tcPr>
            <w:tcW w:w="4536" w:type="dxa"/>
            <w:shd w:val="clear" w:color="auto" w:fill="AEAAAA" w:themeFill="background2" w:themeFillShade="BF"/>
          </w:tcPr>
          <w:p w14:paraId="693A06C7" w14:textId="1FFA0490" w:rsidR="00A74751" w:rsidRPr="00552CEE" w:rsidRDefault="00CB71BD" w:rsidP="00995EE5">
            <w:pPr>
              <w:ind w:left="284" w:hanging="284"/>
              <w:cnfStyle w:val="100000000000" w:firstRow="1" w:lastRow="0" w:firstColumn="0" w:lastColumn="0" w:oddVBand="0" w:evenVBand="0" w:oddHBand="0" w:evenHBand="0" w:firstRowFirstColumn="0" w:firstRowLastColumn="0" w:lastRowFirstColumn="0" w:lastRowLastColumn="0"/>
              <w:rPr>
                <w:sz w:val="18"/>
                <w:szCs w:val="18"/>
              </w:rPr>
            </w:pPr>
            <w:r w:rsidRPr="00552CEE">
              <w:rPr>
                <w:sz w:val="18"/>
                <w:szCs w:val="18"/>
              </w:rPr>
              <w:t>Comment</w:t>
            </w:r>
          </w:p>
        </w:tc>
      </w:tr>
      <w:tr w:rsidR="00A74751" w:rsidRPr="00552CEE" w14:paraId="262FC824" w14:textId="77777777" w:rsidTr="00995EE5">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127" w:type="dxa"/>
            <w:hideMark/>
          </w:tcPr>
          <w:p w14:paraId="40B1FE05" w14:textId="0623664D" w:rsidR="00A74751" w:rsidRPr="00552CEE" w:rsidRDefault="00543297" w:rsidP="00995EE5">
            <w:pPr>
              <w:rPr>
                <w:b w:val="0"/>
                <w:bCs w:val="0"/>
                <w:sz w:val="18"/>
                <w:szCs w:val="18"/>
              </w:rPr>
            </w:pPr>
            <w:r w:rsidRPr="00552CEE">
              <w:rPr>
                <w:sz w:val="18"/>
                <w:szCs w:val="18"/>
              </w:rPr>
              <w:t>Level of debt finance</w:t>
            </w:r>
            <w:r w:rsidR="00A74751" w:rsidRPr="00552CEE">
              <w:rPr>
                <w:sz w:val="18"/>
                <w:szCs w:val="18"/>
              </w:rPr>
              <w:t xml:space="preserve"> </w:t>
            </w:r>
          </w:p>
        </w:tc>
        <w:tc>
          <w:tcPr>
            <w:tcW w:w="3118" w:type="dxa"/>
          </w:tcPr>
          <w:p w14:paraId="2A7A7D0D" w14:textId="0758A220" w:rsidR="00A74751" w:rsidRPr="00552CEE" w:rsidRDefault="00543297" w:rsidP="00995EE5">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 xml:space="preserve">70% </w:t>
            </w:r>
          </w:p>
        </w:tc>
        <w:tc>
          <w:tcPr>
            <w:tcW w:w="4536" w:type="dxa"/>
          </w:tcPr>
          <w:p w14:paraId="2832212F" w14:textId="6F84A3AB" w:rsidR="00A74751" w:rsidRPr="00552CEE" w:rsidRDefault="003A58DE" w:rsidP="00995EE5">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 xml:space="preserve">This should be </w:t>
            </w:r>
            <w:r w:rsidR="00EC7E43">
              <w:rPr>
                <w:sz w:val="18"/>
                <w:szCs w:val="18"/>
              </w:rPr>
              <w:t xml:space="preserve">considered </w:t>
            </w:r>
            <w:r w:rsidRPr="00552CEE">
              <w:rPr>
                <w:sz w:val="18"/>
                <w:szCs w:val="18"/>
              </w:rPr>
              <w:t>an upper limit on gearing</w:t>
            </w:r>
          </w:p>
        </w:tc>
      </w:tr>
      <w:tr w:rsidR="00A74751" w:rsidRPr="00552CEE" w14:paraId="4B6F7DCD" w14:textId="77777777" w:rsidTr="00995EE5">
        <w:trPr>
          <w:trHeight w:val="478"/>
        </w:trPr>
        <w:tc>
          <w:tcPr>
            <w:cnfStyle w:val="001000000000" w:firstRow="0" w:lastRow="0" w:firstColumn="1" w:lastColumn="0" w:oddVBand="0" w:evenVBand="0" w:oddHBand="0" w:evenHBand="0" w:firstRowFirstColumn="0" w:firstRowLastColumn="0" w:lastRowFirstColumn="0" w:lastRowLastColumn="0"/>
            <w:tcW w:w="2127" w:type="dxa"/>
          </w:tcPr>
          <w:p w14:paraId="121DCC2C" w14:textId="2D213ECF" w:rsidR="00A74751" w:rsidRPr="00552CEE" w:rsidRDefault="00CB71BD" w:rsidP="00995EE5">
            <w:pPr>
              <w:rPr>
                <w:sz w:val="18"/>
                <w:szCs w:val="18"/>
              </w:rPr>
            </w:pPr>
            <w:r w:rsidRPr="00552CEE">
              <w:rPr>
                <w:sz w:val="18"/>
                <w:szCs w:val="18"/>
              </w:rPr>
              <w:t>Tenor</w:t>
            </w:r>
          </w:p>
        </w:tc>
        <w:tc>
          <w:tcPr>
            <w:tcW w:w="3118" w:type="dxa"/>
          </w:tcPr>
          <w:p w14:paraId="1C2E6537" w14:textId="5F448DEC" w:rsidR="00A74751" w:rsidRPr="00552CEE" w:rsidRDefault="00CB71BD" w:rsidP="00995EE5">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15 years</w:t>
            </w:r>
          </w:p>
        </w:tc>
        <w:tc>
          <w:tcPr>
            <w:tcW w:w="4536" w:type="dxa"/>
          </w:tcPr>
          <w:p w14:paraId="3AEDAF6B" w14:textId="77777777" w:rsidR="00A74751" w:rsidRPr="00552CEE" w:rsidRDefault="00A74751" w:rsidP="00995EE5">
            <w:pPr>
              <w:cnfStyle w:val="000000000000" w:firstRow="0" w:lastRow="0" w:firstColumn="0" w:lastColumn="0" w:oddVBand="0" w:evenVBand="0" w:oddHBand="0" w:evenHBand="0" w:firstRowFirstColumn="0" w:firstRowLastColumn="0" w:lastRowFirstColumn="0" w:lastRowLastColumn="0"/>
              <w:rPr>
                <w:sz w:val="18"/>
                <w:szCs w:val="18"/>
              </w:rPr>
            </w:pPr>
          </w:p>
        </w:tc>
      </w:tr>
      <w:tr w:rsidR="00A74751" w:rsidRPr="00552CEE" w14:paraId="7C4A7E22" w14:textId="77777777" w:rsidTr="00995EE5">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127" w:type="dxa"/>
          </w:tcPr>
          <w:p w14:paraId="0F3A0AD3" w14:textId="26766B3F" w:rsidR="00A74751" w:rsidRPr="00E26F82" w:rsidRDefault="00EF0C76" w:rsidP="00995EE5">
            <w:pPr>
              <w:rPr>
                <w:sz w:val="18"/>
                <w:szCs w:val="18"/>
              </w:rPr>
            </w:pPr>
            <w:r w:rsidRPr="00E26F82">
              <w:rPr>
                <w:sz w:val="18"/>
                <w:szCs w:val="18"/>
              </w:rPr>
              <w:t>Interest rate</w:t>
            </w:r>
          </w:p>
        </w:tc>
        <w:tc>
          <w:tcPr>
            <w:tcW w:w="3118" w:type="dxa"/>
          </w:tcPr>
          <w:p w14:paraId="40BE02F7" w14:textId="25DA76F8" w:rsidR="00A74751" w:rsidRPr="00E26F82" w:rsidRDefault="003A58DE" w:rsidP="00995EE5">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E26F82">
              <w:rPr>
                <w:lang w:val="en-GB"/>
              </w:rPr>
              <w:t>6</w:t>
            </w:r>
            <w:r w:rsidR="00EF0C76" w:rsidRPr="00E26F82">
              <w:rPr>
                <w:lang w:val="en-GB"/>
              </w:rPr>
              <w:t xml:space="preserve">% </w:t>
            </w:r>
          </w:p>
        </w:tc>
        <w:tc>
          <w:tcPr>
            <w:tcW w:w="4536" w:type="dxa"/>
          </w:tcPr>
          <w:p w14:paraId="54848E0D" w14:textId="3CABE878" w:rsidR="00A74751" w:rsidRPr="00552CEE" w:rsidRDefault="003A58DE" w:rsidP="00995EE5">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This is approximately 1.5% above UK Government 10 year Bonds</w:t>
            </w:r>
          </w:p>
        </w:tc>
      </w:tr>
    </w:tbl>
    <w:p w14:paraId="2391665F" w14:textId="77777777" w:rsidR="00A74751" w:rsidRPr="00552CEE" w:rsidRDefault="00A74751" w:rsidP="000604A4"/>
    <w:p w14:paraId="62E261C9" w14:textId="76FCED77" w:rsidR="004E089A" w:rsidRPr="00552CEE" w:rsidRDefault="004E089A" w:rsidP="004E089A">
      <w:pPr>
        <w:pStyle w:val="Caption"/>
        <w:keepNext/>
        <w:jc w:val="center"/>
      </w:pPr>
      <w:r w:rsidRPr="00552CEE">
        <w:t xml:space="preserve">Table </w:t>
      </w:r>
      <w:fldSimple w:instr=" SEQ Table \* ARABIC ">
        <w:r w:rsidR="00BA359F">
          <w:rPr>
            <w:noProof/>
          </w:rPr>
          <w:t>3</w:t>
        </w:r>
      </w:fldSimple>
      <w:r w:rsidRPr="00552CEE">
        <w:t>: Public sector debt assumptions</w:t>
      </w:r>
    </w:p>
    <w:tbl>
      <w:tblPr>
        <w:tblStyle w:val="PlainTable2"/>
        <w:tblW w:w="9781" w:type="dxa"/>
        <w:tblLook w:val="04A0" w:firstRow="1" w:lastRow="0" w:firstColumn="1" w:lastColumn="0" w:noHBand="0" w:noVBand="1"/>
      </w:tblPr>
      <w:tblGrid>
        <w:gridCol w:w="2127"/>
        <w:gridCol w:w="3118"/>
        <w:gridCol w:w="4536"/>
      </w:tblGrid>
      <w:tr w:rsidR="00EF0C76" w:rsidRPr="00552CEE" w14:paraId="6EAF5AC7" w14:textId="77777777" w:rsidTr="00036938">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127" w:type="dxa"/>
            <w:shd w:val="clear" w:color="auto" w:fill="AEAAAA" w:themeFill="background2" w:themeFillShade="BF"/>
            <w:hideMark/>
          </w:tcPr>
          <w:p w14:paraId="0E7A9B43" w14:textId="452A2EF0" w:rsidR="00EF0C76" w:rsidRPr="00552CEE" w:rsidRDefault="00EF0C76" w:rsidP="00995EE5">
            <w:pPr>
              <w:rPr>
                <w:sz w:val="18"/>
                <w:szCs w:val="18"/>
              </w:rPr>
            </w:pPr>
            <w:r w:rsidRPr="00552CEE">
              <w:rPr>
                <w:sz w:val="18"/>
                <w:szCs w:val="18"/>
              </w:rPr>
              <w:t>Par</w:t>
            </w:r>
            <w:r w:rsidR="00D92507" w:rsidRPr="00552CEE">
              <w:rPr>
                <w:sz w:val="18"/>
                <w:szCs w:val="18"/>
              </w:rPr>
              <w:t>a</w:t>
            </w:r>
            <w:r w:rsidRPr="00552CEE">
              <w:rPr>
                <w:sz w:val="18"/>
                <w:szCs w:val="18"/>
              </w:rPr>
              <w:t>meter</w:t>
            </w:r>
          </w:p>
        </w:tc>
        <w:tc>
          <w:tcPr>
            <w:tcW w:w="3118" w:type="dxa"/>
            <w:shd w:val="clear" w:color="auto" w:fill="AEAAAA" w:themeFill="background2" w:themeFillShade="BF"/>
          </w:tcPr>
          <w:p w14:paraId="10A320D3" w14:textId="77777777" w:rsidR="00EF0C76" w:rsidRPr="00552CEE" w:rsidRDefault="00EF0C76" w:rsidP="00995EE5">
            <w:pPr>
              <w:ind w:left="284" w:hanging="284"/>
              <w:cnfStyle w:val="100000000000" w:firstRow="1" w:lastRow="0" w:firstColumn="0" w:lastColumn="0" w:oddVBand="0" w:evenVBand="0" w:oddHBand="0" w:evenHBand="0" w:firstRowFirstColumn="0" w:firstRowLastColumn="0" w:lastRowFirstColumn="0" w:lastRowLastColumn="0"/>
              <w:rPr>
                <w:sz w:val="18"/>
                <w:szCs w:val="18"/>
              </w:rPr>
            </w:pPr>
            <w:r w:rsidRPr="00552CEE">
              <w:rPr>
                <w:sz w:val="18"/>
                <w:szCs w:val="18"/>
              </w:rPr>
              <w:t xml:space="preserve">Basecase </w:t>
            </w:r>
          </w:p>
        </w:tc>
        <w:tc>
          <w:tcPr>
            <w:tcW w:w="4536" w:type="dxa"/>
            <w:shd w:val="clear" w:color="auto" w:fill="AEAAAA" w:themeFill="background2" w:themeFillShade="BF"/>
          </w:tcPr>
          <w:p w14:paraId="5D2EFD11" w14:textId="77777777" w:rsidR="00EF0C76" w:rsidRPr="00552CEE" w:rsidRDefault="00EF0C76" w:rsidP="00995EE5">
            <w:pPr>
              <w:ind w:left="284" w:hanging="284"/>
              <w:cnfStyle w:val="100000000000" w:firstRow="1" w:lastRow="0" w:firstColumn="0" w:lastColumn="0" w:oddVBand="0" w:evenVBand="0" w:oddHBand="0" w:evenHBand="0" w:firstRowFirstColumn="0" w:firstRowLastColumn="0" w:lastRowFirstColumn="0" w:lastRowLastColumn="0"/>
              <w:rPr>
                <w:sz w:val="18"/>
                <w:szCs w:val="18"/>
              </w:rPr>
            </w:pPr>
            <w:r w:rsidRPr="00552CEE">
              <w:rPr>
                <w:sz w:val="18"/>
                <w:szCs w:val="18"/>
              </w:rPr>
              <w:t>Comment</w:t>
            </w:r>
          </w:p>
        </w:tc>
      </w:tr>
      <w:tr w:rsidR="00EF0C76" w:rsidRPr="00552CEE" w14:paraId="47A8EBC9" w14:textId="77777777" w:rsidTr="004E089A">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127" w:type="dxa"/>
          </w:tcPr>
          <w:p w14:paraId="583A69D2" w14:textId="3480E56F" w:rsidR="00EF0C76" w:rsidRPr="00552CEE" w:rsidRDefault="004E089A" w:rsidP="00995EE5">
            <w:pPr>
              <w:rPr>
                <w:b w:val="0"/>
                <w:bCs w:val="0"/>
                <w:sz w:val="18"/>
                <w:szCs w:val="18"/>
              </w:rPr>
            </w:pPr>
            <w:r w:rsidRPr="00552CEE">
              <w:rPr>
                <w:b w:val="0"/>
                <w:bCs w:val="0"/>
                <w:sz w:val="18"/>
                <w:szCs w:val="18"/>
              </w:rPr>
              <w:t>Fraction of SO company funded</w:t>
            </w:r>
            <w:r w:rsidR="00DB4E37" w:rsidRPr="00552CEE">
              <w:rPr>
                <w:b w:val="0"/>
                <w:bCs w:val="0"/>
                <w:sz w:val="18"/>
                <w:szCs w:val="18"/>
              </w:rPr>
              <w:t xml:space="preserve"> by public sector debt</w:t>
            </w:r>
          </w:p>
        </w:tc>
        <w:tc>
          <w:tcPr>
            <w:tcW w:w="3118" w:type="dxa"/>
          </w:tcPr>
          <w:p w14:paraId="53FA7BEC" w14:textId="4284DE3C" w:rsidR="00EF0C76" w:rsidRPr="00552CEE" w:rsidRDefault="004E089A" w:rsidP="00995EE5">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100%</w:t>
            </w:r>
          </w:p>
        </w:tc>
        <w:tc>
          <w:tcPr>
            <w:tcW w:w="4536" w:type="dxa"/>
          </w:tcPr>
          <w:p w14:paraId="4B70F662" w14:textId="2362E20E" w:rsidR="00EF0C76" w:rsidRPr="00552CEE" w:rsidRDefault="00DB4E37" w:rsidP="00995EE5">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 xml:space="preserve">Alternatives includes community shares. </w:t>
            </w:r>
          </w:p>
        </w:tc>
      </w:tr>
      <w:tr w:rsidR="00EF0C76" w:rsidRPr="00552CEE" w14:paraId="5568845A" w14:textId="77777777" w:rsidTr="00995EE5">
        <w:trPr>
          <w:trHeight w:val="478"/>
        </w:trPr>
        <w:tc>
          <w:tcPr>
            <w:cnfStyle w:val="001000000000" w:firstRow="0" w:lastRow="0" w:firstColumn="1" w:lastColumn="0" w:oddVBand="0" w:evenVBand="0" w:oddHBand="0" w:evenHBand="0" w:firstRowFirstColumn="0" w:firstRowLastColumn="0" w:lastRowFirstColumn="0" w:lastRowLastColumn="0"/>
            <w:tcW w:w="2127" w:type="dxa"/>
          </w:tcPr>
          <w:p w14:paraId="366A6439" w14:textId="5E1D51DC" w:rsidR="00EF0C76" w:rsidRPr="00552CEE" w:rsidRDefault="004E089A" w:rsidP="00995EE5">
            <w:pPr>
              <w:rPr>
                <w:sz w:val="18"/>
                <w:szCs w:val="18"/>
              </w:rPr>
            </w:pPr>
            <w:r w:rsidRPr="00552CEE">
              <w:rPr>
                <w:sz w:val="18"/>
                <w:szCs w:val="18"/>
              </w:rPr>
              <w:t>Tenor</w:t>
            </w:r>
          </w:p>
        </w:tc>
        <w:tc>
          <w:tcPr>
            <w:tcW w:w="3118" w:type="dxa"/>
          </w:tcPr>
          <w:p w14:paraId="2A93AF42" w14:textId="12EA1D55" w:rsidR="00EF0C76" w:rsidRPr="00552CEE" w:rsidRDefault="004E089A" w:rsidP="00995EE5">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20 years</w:t>
            </w:r>
          </w:p>
        </w:tc>
        <w:tc>
          <w:tcPr>
            <w:tcW w:w="4536" w:type="dxa"/>
          </w:tcPr>
          <w:p w14:paraId="7EB73490" w14:textId="77777777" w:rsidR="00EF0C76" w:rsidRPr="00552CEE" w:rsidRDefault="00EF0C76" w:rsidP="00995EE5">
            <w:pPr>
              <w:cnfStyle w:val="000000000000" w:firstRow="0" w:lastRow="0" w:firstColumn="0" w:lastColumn="0" w:oddVBand="0" w:evenVBand="0" w:oddHBand="0" w:evenHBand="0" w:firstRowFirstColumn="0" w:firstRowLastColumn="0" w:lastRowFirstColumn="0" w:lastRowLastColumn="0"/>
              <w:rPr>
                <w:sz w:val="18"/>
                <w:szCs w:val="18"/>
              </w:rPr>
            </w:pPr>
          </w:p>
        </w:tc>
      </w:tr>
      <w:tr w:rsidR="00EF0C76" w:rsidRPr="00552CEE" w14:paraId="302D0AF8" w14:textId="77777777" w:rsidTr="00995EE5">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127" w:type="dxa"/>
          </w:tcPr>
          <w:p w14:paraId="25AA5D45" w14:textId="168674DF" w:rsidR="00EF0C76" w:rsidRPr="00552CEE" w:rsidRDefault="004E089A" w:rsidP="00995EE5">
            <w:pPr>
              <w:rPr>
                <w:sz w:val="18"/>
                <w:szCs w:val="18"/>
              </w:rPr>
            </w:pPr>
            <w:r w:rsidRPr="00552CEE">
              <w:rPr>
                <w:sz w:val="18"/>
                <w:szCs w:val="18"/>
              </w:rPr>
              <w:t>Interest rate</w:t>
            </w:r>
          </w:p>
        </w:tc>
        <w:tc>
          <w:tcPr>
            <w:tcW w:w="3118" w:type="dxa"/>
          </w:tcPr>
          <w:p w14:paraId="13C8DB1D" w14:textId="7D0407AC" w:rsidR="00EF0C76" w:rsidRPr="00552CEE" w:rsidRDefault="004E089A" w:rsidP="00995EE5">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 xml:space="preserve">2% </w:t>
            </w:r>
          </w:p>
        </w:tc>
        <w:tc>
          <w:tcPr>
            <w:tcW w:w="4536" w:type="dxa"/>
          </w:tcPr>
          <w:p w14:paraId="1B8AA01C" w14:textId="36C37509" w:rsidR="00EF0C76" w:rsidRPr="00552CEE" w:rsidRDefault="00DB4E37" w:rsidP="00995EE5">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This is well</w:t>
            </w:r>
            <w:r w:rsidR="004E089A" w:rsidRPr="00552CEE">
              <w:rPr>
                <w:sz w:val="18"/>
                <w:szCs w:val="18"/>
              </w:rPr>
              <w:t xml:space="preserve"> ‘below market’</w:t>
            </w:r>
            <w:r w:rsidRPr="00552CEE">
              <w:rPr>
                <w:sz w:val="18"/>
                <w:szCs w:val="18"/>
              </w:rPr>
              <w:t xml:space="preserve"> for bank loan interest. </w:t>
            </w:r>
          </w:p>
        </w:tc>
      </w:tr>
    </w:tbl>
    <w:p w14:paraId="0DA85968" w14:textId="77777777" w:rsidR="00EF0C76" w:rsidRPr="00552CEE" w:rsidRDefault="00EF0C76" w:rsidP="000604A4"/>
    <w:p w14:paraId="4E643F79" w14:textId="6DCFDCFB" w:rsidR="000604A4" w:rsidRPr="00552CEE" w:rsidRDefault="00E26F82" w:rsidP="000604A4">
      <w:pPr>
        <w:pStyle w:val="Heading2"/>
      </w:pPr>
      <w:r>
        <w:t xml:space="preserve">Offshore </w:t>
      </w:r>
      <w:r w:rsidR="00527220" w:rsidRPr="00552CEE">
        <w:t>Sensitivit</w:t>
      </w:r>
      <w:r>
        <w:t>ies</w:t>
      </w:r>
    </w:p>
    <w:p w14:paraId="6BA9E38E" w14:textId="4C073BF3" w:rsidR="00982AA9" w:rsidRPr="00552CEE" w:rsidRDefault="00982AA9" w:rsidP="00982AA9">
      <w:r w:rsidRPr="00552CEE">
        <w:t>Five sensitivities are modelled. The first two represent reasonable stress tests that any SO business case should be able to absorb. The third is a high TNUoS case and involves modelling an identical project located in the north of Scotland, where TNUoS charges are higher. The final two represent alternative public sector funding options: a zero-interest loan and a grant.</w:t>
      </w:r>
    </w:p>
    <w:p w14:paraId="6F8BA29D" w14:textId="05128613" w:rsidR="00982AA9" w:rsidRPr="00552CEE" w:rsidRDefault="00982AA9" w:rsidP="00982AA9">
      <w:r w:rsidRPr="00552CEE">
        <w:t>With the exception of Sensitivity 3, the valuation of the project remains unchanged, as expectations of the physical performance and costs of the project are the same at the point of investment, but outturn performance is worse than expected. Under the High TNUoS sensitivity, the valuation is lower to reflect the known issue of higher TNUoS charges in northern Scotland</w:t>
      </w:r>
      <w:r w:rsidR="00204174" w:rsidRPr="00552CEE">
        <w:t>. The details of the sensitivities are as follows:</w:t>
      </w:r>
    </w:p>
    <w:p w14:paraId="5AEA4DC1" w14:textId="661268B4" w:rsidR="00982AA9" w:rsidRPr="00552CEE" w:rsidRDefault="00982AA9" w:rsidP="00982AA9">
      <w:pPr>
        <w:numPr>
          <w:ilvl w:val="0"/>
          <w:numId w:val="17"/>
        </w:numPr>
      </w:pPr>
      <w:r w:rsidRPr="00552CEE">
        <w:rPr>
          <w:b/>
          <w:bCs/>
        </w:rPr>
        <w:t>Low Revenue:</w:t>
      </w:r>
      <w:r w:rsidRPr="00552CEE">
        <w:t xml:space="preserve"> Assumes that the available load factor of the wind farm is reduced from 55 percent to 5</w:t>
      </w:r>
      <w:r w:rsidR="00204174" w:rsidRPr="00552CEE">
        <w:t>0</w:t>
      </w:r>
      <w:r w:rsidRPr="00552CEE">
        <w:t xml:space="preserve"> percent</w:t>
      </w:r>
      <w:r w:rsidR="00204174" w:rsidRPr="00552CEE">
        <w:t xml:space="preserve"> and technical availability is reduced from 95% to 92.5% during the first 15 years of operation and 90% during the last 15 years</w:t>
      </w:r>
      <w:r w:rsidRPr="00552CEE">
        <w:t xml:space="preserve">. </w:t>
      </w:r>
    </w:p>
    <w:p w14:paraId="69B5D488" w14:textId="77777777" w:rsidR="00982AA9" w:rsidRPr="00552CEE" w:rsidRDefault="00982AA9" w:rsidP="00982AA9">
      <w:pPr>
        <w:numPr>
          <w:ilvl w:val="0"/>
          <w:numId w:val="17"/>
        </w:numPr>
        <w:spacing w:after="0"/>
        <w:ind w:left="714" w:hanging="357"/>
      </w:pPr>
      <w:r w:rsidRPr="00552CEE">
        <w:rPr>
          <w:b/>
          <w:bCs/>
        </w:rPr>
        <w:t>Market Headwinds:</w:t>
      </w:r>
      <w:r w:rsidRPr="00552CEE">
        <w:t xml:space="preserve"> Reflects a worse than forecast market and regulatory environment. It includes the following components:</w:t>
      </w:r>
    </w:p>
    <w:p w14:paraId="7FA74310" w14:textId="77777777" w:rsidR="00982AA9" w:rsidRPr="00552CEE" w:rsidRDefault="00982AA9" w:rsidP="00E26F82">
      <w:pPr>
        <w:pStyle w:val="ListParagraph"/>
        <w:numPr>
          <w:ilvl w:val="0"/>
          <w:numId w:val="18"/>
        </w:numPr>
        <w:ind w:left="1134"/>
      </w:pPr>
      <w:r w:rsidRPr="00552CEE">
        <w:t>Higher economic curtailment: Economic curtailment rises to 11 percent of available output by 2030 and falls back to zero by 2050.</w:t>
      </w:r>
    </w:p>
    <w:p w14:paraId="4EC4BEF6" w14:textId="77777777" w:rsidR="00982AA9" w:rsidRPr="00552CEE" w:rsidRDefault="00982AA9" w:rsidP="00E26F82">
      <w:pPr>
        <w:pStyle w:val="ListParagraph"/>
        <w:numPr>
          <w:ilvl w:val="0"/>
          <w:numId w:val="18"/>
        </w:numPr>
        <w:ind w:left="1134"/>
      </w:pPr>
      <w:r w:rsidRPr="00552CEE">
        <w:t>Transmission Loss Multipliers: A locational average TLM of 96.5 percent is applied.</w:t>
      </w:r>
    </w:p>
    <w:p w14:paraId="6CDED0D6" w14:textId="77777777" w:rsidR="00982AA9" w:rsidRPr="00552CEE" w:rsidRDefault="00982AA9" w:rsidP="00E26F82">
      <w:pPr>
        <w:pStyle w:val="ListParagraph"/>
        <w:numPr>
          <w:ilvl w:val="0"/>
          <w:numId w:val="18"/>
        </w:numPr>
        <w:ind w:left="1134"/>
      </w:pPr>
      <w:r w:rsidRPr="00552CEE">
        <w:t>Wind capture price in the merchant tail: Reduces to 65 percent of baseload price forecasts.</w:t>
      </w:r>
    </w:p>
    <w:p w14:paraId="3AFE8A0B" w14:textId="77777777" w:rsidR="00982AA9" w:rsidRPr="00552CEE" w:rsidRDefault="00982AA9" w:rsidP="00982AA9">
      <w:pPr>
        <w:numPr>
          <w:ilvl w:val="0"/>
          <w:numId w:val="17"/>
        </w:numPr>
      </w:pPr>
      <w:r w:rsidRPr="00552CEE">
        <w:rPr>
          <w:b/>
          <w:bCs/>
        </w:rPr>
        <w:lastRenderedPageBreak/>
        <w:t>High TNUoS:</w:t>
      </w:r>
      <w:r w:rsidRPr="00552CEE">
        <w:t xml:space="preserve"> Replicates the base case for a wind farm in the north of Scotland, which faces a higher rate of TNUoS. In 2033, charges increase from £21 per kW to £57 per kW.</w:t>
      </w:r>
    </w:p>
    <w:p w14:paraId="52029BD7" w14:textId="4DE20CBB" w:rsidR="00982AA9" w:rsidRPr="00552CEE" w:rsidRDefault="00982AA9" w:rsidP="00982AA9">
      <w:pPr>
        <w:numPr>
          <w:ilvl w:val="0"/>
          <w:numId w:val="17"/>
        </w:numPr>
      </w:pPr>
      <w:r w:rsidRPr="00552CEE">
        <w:rPr>
          <w:b/>
          <w:bCs/>
        </w:rPr>
        <w:t xml:space="preserve">Zero interest </w:t>
      </w:r>
      <w:r w:rsidR="00E26F82">
        <w:rPr>
          <w:b/>
          <w:bCs/>
        </w:rPr>
        <w:t xml:space="preserve">real-terms </w:t>
      </w:r>
      <w:r w:rsidRPr="00552CEE">
        <w:rPr>
          <w:b/>
          <w:bCs/>
        </w:rPr>
        <w:t>loan:</w:t>
      </w:r>
      <w:r w:rsidRPr="00552CEE">
        <w:t xml:space="preserve"> Assumes a zero interest, real terms public sector loan to the SO Company. The full principal of the loan must be repaid in real 2025 prices.</w:t>
      </w:r>
    </w:p>
    <w:p w14:paraId="49216AC3" w14:textId="77777777" w:rsidR="00982AA9" w:rsidRPr="00552CEE" w:rsidRDefault="00982AA9" w:rsidP="00982AA9">
      <w:pPr>
        <w:numPr>
          <w:ilvl w:val="0"/>
          <w:numId w:val="17"/>
        </w:numPr>
      </w:pPr>
      <w:r w:rsidRPr="00552CEE">
        <w:rPr>
          <w:b/>
          <w:bCs/>
        </w:rPr>
        <w:t>Grant funding:</w:t>
      </w:r>
      <w:r w:rsidRPr="00552CEE">
        <w:t xml:space="preserve"> Assumes that no principal or interest needs to be repaid on the public sector contribution.</w:t>
      </w:r>
    </w:p>
    <w:p w14:paraId="38C02583" w14:textId="70981240" w:rsidR="00504B46" w:rsidRPr="00552CEE" w:rsidRDefault="00982AA9" w:rsidP="00982AA9">
      <w:pPr>
        <w:rPr>
          <w:b/>
          <w:bCs/>
        </w:rPr>
      </w:pPr>
      <w:r w:rsidRPr="00552CEE">
        <w:t xml:space="preserve"> </w:t>
      </w:r>
      <w:r w:rsidR="00405DE3" w:rsidRPr="00552CEE">
        <w:t xml:space="preserve">  </w:t>
      </w:r>
      <w:r w:rsidR="00B53A49" w:rsidRPr="00552CEE">
        <w:t xml:space="preserve"> </w:t>
      </w:r>
    </w:p>
    <w:p w14:paraId="6AF8B60D" w14:textId="77777777" w:rsidR="0003326D" w:rsidRPr="00552CEE" w:rsidRDefault="0003326D" w:rsidP="000654E2">
      <w:pPr>
        <w:pStyle w:val="ListParagraph"/>
        <w:ind w:left="1440"/>
        <w:rPr>
          <w:b/>
          <w:bCs/>
        </w:rPr>
      </w:pPr>
    </w:p>
    <w:p w14:paraId="4F391063" w14:textId="77777777" w:rsidR="00405DE3" w:rsidRPr="00552CEE" w:rsidRDefault="00497852" w:rsidP="00DA210B">
      <w:pPr>
        <w:pStyle w:val="ListParagraph"/>
        <w:sectPr w:rsidR="00405DE3" w:rsidRPr="00552CEE">
          <w:pgSz w:w="11906" w:h="16838"/>
          <w:pgMar w:top="1440" w:right="1440" w:bottom="1440" w:left="1440" w:header="708" w:footer="708" w:gutter="0"/>
          <w:cols w:space="708"/>
          <w:docGrid w:linePitch="360"/>
        </w:sectPr>
      </w:pPr>
      <w:r w:rsidRPr="00552CEE">
        <w:t xml:space="preserve"> </w:t>
      </w:r>
    </w:p>
    <w:p w14:paraId="53E391D3" w14:textId="2846B8A9" w:rsidR="000604A4" w:rsidRPr="00552CEE" w:rsidRDefault="000604A4" w:rsidP="000604A4">
      <w:pPr>
        <w:pStyle w:val="Heading1"/>
      </w:pPr>
      <w:r w:rsidRPr="00552CEE">
        <w:lastRenderedPageBreak/>
        <w:t>Results</w:t>
      </w:r>
      <w:r w:rsidR="00D95DBB" w:rsidRPr="00552CEE">
        <w:t>: Offshore</w:t>
      </w:r>
    </w:p>
    <w:p w14:paraId="44CFF33F" w14:textId="24A8B49C" w:rsidR="000604A4" w:rsidRPr="00552CEE" w:rsidRDefault="00527220" w:rsidP="000604A4">
      <w:pPr>
        <w:pStyle w:val="Heading2"/>
      </w:pPr>
      <w:r w:rsidRPr="00552CEE">
        <w:t>Commercial</w:t>
      </w:r>
      <w:r w:rsidR="000604A4" w:rsidRPr="00552CEE">
        <w:t xml:space="preserve"> perspective </w:t>
      </w:r>
    </w:p>
    <w:p w14:paraId="74B79666" w14:textId="3E69E37D" w:rsidR="00405DE3" w:rsidRPr="00552CEE" w:rsidRDefault="002916AE" w:rsidP="00405DE3">
      <w:r w:rsidRPr="00552CEE">
        <w:t>This section sets out the commercial view of the whole project under both a balance sheet and a project finance option. Cash flows in individual years are presented in real 2025 terms, that is, without discounting. However, the calculation of IRR and NPV involves discounting, as noted in the text.</w:t>
      </w:r>
      <w:r w:rsidR="00EC7072" w:rsidRPr="00552CEE">
        <w:t xml:space="preserve"> </w:t>
      </w:r>
    </w:p>
    <w:p w14:paraId="79218148" w14:textId="61ECD227" w:rsidR="00E528E8" w:rsidRPr="00552CEE" w:rsidRDefault="00226588" w:rsidP="00E528E8">
      <w:pPr>
        <w:pStyle w:val="Heading3"/>
      </w:pPr>
      <w:r>
        <w:t xml:space="preserve">Balance sheet </w:t>
      </w:r>
      <w:r w:rsidR="00F46DB2" w:rsidRPr="00552CEE">
        <w:t>(</w:t>
      </w:r>
      <w:r w:rsidR="00F503C4">
        <w:t xml:space="preserve">Joint Venture with no </w:t>
      </w:r>
      <w:r w:rsidR="007765B6" w:rsidRPr="00552CEE">
        <w:t xml:space="preserve">project level </w:t>
      </w:r>
      <w:r w:rsidR="00F46DB2" w:rsidRPr="00552CEE">
        <w:t>debt)</w:t>
      </w:r>
    </w:p>
    <w:p w14:paraId="47CC5E80" w14:textId="579A4BB1" w:rsidR="005F6D23" w:rsidRPr="00552CEE" w:rsidRDefault="005F6D23" w:rsidP="005F6D23">
      <w:r w:rsidRPr="00552CEE">
        <w:t>Overall, the illustrative project involves a £2.</w:t>
      </w:r>
      <w:r w:rsidR="00FB0FDE" w:rsidRPr="00552CEE">
        <w:t>63</w:t>
      </w:r>
      <w:r w:rsidRPr="00552CEE">
        <w:t>bn capital investment to build the offshore wind farm. This generates £9.25bn of revenue over its lifetime on an undiscounted basis, or £3.3bn when discounted at a commercial rate of 8%.</w:t>
      </w:r>
    </w:p>
    <w:p w14:paraId="06522C78" w14:textId="77777777" w:rsidR="005F6D23" w:rsidRPr="00552CEE" w:rsidRDefault="005F6D23" w:rsidP="005F6D23">
      <w:r w:rsidRPr="00552CEE">
        <w:t>Cash flows in 2030 would deliver:</w:t>
      </w:r>
    </w:p>
    <w:p w14:paraId="1980B483" w14:textId="6B5FF2CA" w:rsidR="005F6D23" w:rsidRPr="00552CEE" w:rsidRDefault="005F6D23" w:rsidP="005F6D23">
      <w:pPr>
        <w:pStyle w:val="ListParagraph"/>
        <w:numPr>
          <w:ilvl w:val="0"/>
          <w:numId w:val="23"/>
        </w:numPr>
      </w:pPr>
      <w:r w:rsidRPr="00552CEE">
        <w:t>Operating revenue</w:t>
      </w:r>
      <w:r w:rsidR="00204174" w:rsidRPr="00552CEE">
        <w:t xml:space="preserve">: </w:t>
      </w:r>
      <w:r w:rsidRPr="00552CEE">
        <w:t>£376</w:t>
      </w:r>
      <w:r w:rsidR="00204174" w:rsidRPr="00552CEE">
        <w:t xml:space="preserve"> million</w:t>
      </w:r>
      <w:r w:rsidRPr="00552CEE">
        <w:t>.</w:t>
      </w:r>
    </w:p>
    <w:p w14:paraId="7999D2EA" w14:textId="407C3FE8" w:rsidR="005F6D23" w:rsidRPr="00552CEE" w:rsidRDefault="005F6D23" w:rsidP="005F6D23">
      <w:pPr>
        <w:pStyle w:val="ListParagraph"/>
        <w:numPr>
          <w:ilvl w:val="0"/>
          <w:numId w:val="23"/>
        </w:numPr>
      </w:pPr>
      <w:r w:rsidRPr="00552CEE">
        <w:t>Operating revenue minus operating costs</w:t>
      </w:r>
      <w:r w:rsidR="00204174" w:rsidRPr="00552CEE">
        <w:t xml:space="preserve">: </w:t>
      </w:r>
      <w:r w:rsidRPr="00552CEE">
        <w:t>£297</w:t>
      </w:r>
      <w:r w:rsidR="00F715AB" w:rsidRPr="00552CEE">
        <w:t xml:space="preserve"> million</w:t>
      </w:r>
      <w:r w:rsidRPr="00552CEE">
        <w:t>.</w:t>
      </w:r>
    </w:p>
    <w:p w14:paraId="1D3D463C" w14:textId="72C46025" w:rsidR="005F6D23" w:rsidRPr="00552CEE" w:rsidRDefault="005F6D23" w:rsidP="005F6D23">
      <w:r w:rsidRPr="00552CEE">
        <w:t>In 204</w:t>
      </w:r>
      <w:r w:rsidR="00204174" w:rsidRPr="00552CEE">
        <w:t>3</w:t>
      </w:r>
      <w:r w:rsidRPr="00552CEE">
        <w:t>, following the end of the CfD period, this reduces to:</w:t>
      </w:r>
    </w:p>
    <w:p w14:paraId="52BC1C93" w14:textId="31A385DF" w:rsidR="005F6D23" w:rsidRPr="00552CEE" w:rsidRDefault="005F6D23" w:rsidP="005F6D23">
      <w:pPr>
        <w:pStyle w:val="ListParagraph"/>
        <w:numPr>
          <w:ilvl w:val="0"/>
          <w:numId w:val="24"/>
        </w:numPr>
      </w:pPr>
      <w:r w:rsidRPr="00552CEE">
        <w:t>Operating revenue</w:t>
      </w:r>
      <w:r w:rsidR="00204174" w:rsidRPr="00552CEE">
        <w:t>:</w:t>
      </w:r>
      <w:r w:rsidRPr="00552CEE">
        <w:t xml:space="preserve"> £241 million.</w:t>
      </w:r>
    </w:p>
    <w:p w14:paraId="15A116C3" w14:textId="47220093" w:rsidR="005F6D23" w:rsidRPr="00552CEE" w:rsidRDefault="005F6D23" w:rsidP="005F6D23">
      <w:pPr>
        <w:pStyle w:val="ListParagraph"/>
        <w:numPr>
          <w:ilvl w:val="0"/>
          <w:numId w:val="24"/>
        </w:numPr>
      </w:pPr>
      <w:r w:rsidRPr="00552CEE">
        <w:t>Operating revenue minus operating costs</w:t>
      </w:r>
      <w:r w:rsidR="00204174" w:rsidRPr="00552CEE">
        <w:t>:</w:t>
      </w:r>
      <w:r w:rsidRPr="00552CEE">
        <w:t xml:space="preserve"> £161 million.</w:t>
      </w:r>
    </w:p>
    <w:p w14:paraId="5FF2E4C5" w14:textId="77777777" w:rsidR="005F6D23" w:rsidRPr="00552CEE" w:rsidRDefault="005F6D23" w:rsidP="005F6D23">
      <w:r w:rsidRPr="00552CEE">
        <w:t>Over its lifetime:</w:t>
      </w:r>
    </w:p>
    <w:p w14:paraId="043F40AC" w14:textId="77777777" w:rsidR="005F6D23" w:rsidRPr="00552CEE" w:rsidRDefault="005F6D23" w:rsidP="005F6D23">
      <w:pPr>
        <w:pStyle w:val="ListParagraph"/>
        <w:numPr>
          <w:ilvl w:val="0"/>
          <w:numId w:val="25"/>
        </w:numPr>
      </w:pPr>
      <w:r w:rsidRPr="00552CEE">
        <w:t>The project delivers an ungeared internal rate of return (IRR) of 9.1%.</w:t>
      </w:r>
    </w:p>
    <w:p w14:paraId="7C3FD408" w14:textId="64B46819" w:rsidR="00C94D18" w:rsidRPr="00552CEE" w:rsidRDefault="005F6D23" w:rsidP="002916AE">
      <w:pPr>
        <w:pStyle w:val="ListParagraph"/>
        <w:numPr>
          <w:ilvl w:val="0"/>
          <w:numId w:val="25"/>
        </w:numPr>
      </w:pPr>
      <w:r w:rsidRPr="00552CEE">
        <w:t>A net present value of £218 million at an 8% discount rate.</w:t>
      </w:r>
    </w:p>
    <w:p w14:paraId="4F52C586" w14:textId="64CA07D9" w:rsidR="00E528E8" w:rsidRPr="00552CEE" w:rsidRDefault="00E528E8" w:rsidP="00E528E8">
      <w:pPr>
        <w:pStyle w:val="Heading3"/>
      </w:pPr>
      <w:r w:rsidRPr="00552CEE">
        <w:t>Project finance (</w:t>
      </w:r>
      <w:r w:rsidR="00F503C4">
        <w:t xml:space="preserve">Joint venture with </w:t>
      </w:r>
      <w:r w:rsidRPr="00552CEE">
        <w:t>debt and equity financing)</w:t>
      </w:r>
    </w:p>
    <w:p w14:paraId="42D205A1" w14:textId="3E89E86F" w:rsidR="004D5375" w:rsidRPr="00552CEE" w:rsidRDefault="004D5375" w:rsidP="004D5375">
      <w:r w:rsidRPr="00552CEE">
        <w:t xml:space="preserve">A typical project finance structure would aim for debt covering 70% of the capital investment. Here, an optimistic assumption is used of a </w:t>
      </w:r>
      <w:r w:rsidR="00E71437" w:rsidRPr="00552CEE">
        <w:t>6</w:t>
      </w:r>
      <w:r w:rsidRPr="00552CEE">
        <w:t>% interest loan, repaid over the first 15 years of operation with a flat repayment profile.</w:t>
      </w:r>
    </w:p>
    <w:p w14:paraId="0E2EDB5E" w14:textId="3D94A5D6" w:rsidR="004D5375" w:rsidRPr="00552CEE" w:rsidRDefault="004D5375" w:rsidP="004D5375">
      <w:r w:rsidRPr="00552CEE">
        <w:t>The project therefore requires an equity investment of £0.7</w:t>
      </w:r>
      <w:r w:rsidR="00840DAD" w:rsidRPr="00552CEE">
        <w:t>9</w:t>
      </w:r>
      <w:r w:rsidRPr="00552CEE">
        <w:t xml:space="preserve"> billion and a loan of £1.</w:t>
      </w:r>
      <w:r w:rsidR="00840DAD" w:rsidRPr="00552CEE">
        <w:t>84</w:t>
      </w:r>
      <w:r w:rsidRPr="00552CEE">
        <w:t xml:space="preserve"> billion. Total interest payments would amount to £0.</w:t>
      </w:r>
      <w:r w:rsidR="00B96D34" w:rsidRPr="00552CEE">
        <w:t>92</w:t>
      </w:r>
      <w:r w:rsidRPr="00552CEE">
        <w:t xml:space="preserve"> billion, resulting in total debt repayments of £2.</w:t>
      </w:r>
      <w:r w:rsidR="00D95CAE" w:rsidRPr="00552CEE">
        <w:t>63</w:t>
      </w:r>
      <w:r w:rsidRPr="00552CEE">
        <w:t xml:space="preserve"> billion over 15 years.</w:t>
      </w:r>
    </w:p>
    <w:p w14:paraId="36A24B83" w14:textId="77777777" w:rsidR="004D5375" w:rsidRPr="00552CEE" w:rsidRDefault="004D5375" w:rsidP="004D5375">
      <w:r w:rsidRPr="00552CEE">
        <w:t>Annual cash flows in 2030 would be:</w:t>
      </w:r>
    </w:p>
    <w:p w14:paraId="0B37BA6F" w14:textId="35F65ACC" w:rsidR="004D5375" w:rsidRPr="00552CEE" w:rsidRDefault="004D5375" w:rsidP="004D5375">
      <w:pPr>
        <w:pStyle w:val="ListParagraph"/>
        <w:numPr>
          <w:ilvl w:val="0"/>
          <w:numId w:val="28"/>
        </w:numPr>
      </w:pPr>
      <w:r w:rsidRPr="00552CEE">
        <w:t>Operating revenue</w:t>
      </w:r>
      <w:r w:rsidR="00272AD9" w:rsidRPr="00552CEE">
        <w:t xml:space="preserve">: </w:t>
      </w:r>
      <w:r w:rsidRPr="00552CEE">
        <w:t xml:space="preserve"> £376 million.</w:t>
      </w:r>
    </w:p>
    <w:p w14:paraId="73F7DFA1" w14:textId="4E59403D" w:rsidR="004D5375" w:rsidRPr="00552CEE" w:rsidRDefault="004D5375" w:rsidP="004D5375">
      <w:pPr>
        <w:pStyle w:val="ListParagraph"/>
        <w:numPr>
          <w:ilvl w:val="0"/>
          <w:numId w:val="28"/>
        </w:numPr>
      </w:pPr>
      <w:r w:rsidRPr="00552CEE">
        <w:t>Operating revenue minus operating costs</w:t>
      </w:r>
      <w:r w:rsidR="00272AD9" w:rsidRPr="00552CEE">
        <w:t>:</w:t>
      </w:r>
      <w:r w:rsidRPr="00552CEE">
        <w:t xml:space="preserve"> £297 million.</w:t>
      </w:r>
    </w:p>
    <w:p w14:paraId="074B233F" w14:textId="738F4151" w:rsidR="004D5375" w:rsidRPr="00552CEE" w:rsidRDefault="004D5375" w:rsidP="004D5375">
      <w:pPr>
        <w:pStyle w:val="ListParagraph"/>
        <w:numPr>
          <w:ilvl w:val="0"/>
          <w:numId w:val="28"/>
        </w:numPr>
      </w:pPr>
      <w:r w:rsidRPr="00552CEE">
        <w:t>Operating revenue minus operating costs minus debt service</w:t>
      </w:r>
      <w:r w:rsidR="00272AD9" w:rsidRPr="00552CEE">
        <w:t>:</w:t>
      </w:r>
      <w:r w:rsidRPr="00552CEE">
        <w:t xml:space="preserve"> £1</w:t>
      </w:r>
      <w:r w:rsidR="00A95308" w:rsidRPr="00552CEE">
        <w:t>18</w:t>
      </w:r>
      <w:r w:rsidRPr="00552CEE">
        <w:t xml:space="preserve"> million.</w:t>
      </w:r>
    </w:p>
    <w:p w14:paraId="6893CFD2" w14:textId="77777777" w:rsidR="004D5375" w:rsidRPr="00552CEE" w:rsidRDefault="004D5375" w:rsidP="004D5375">
      <w:r w:rsidRPr="00552CEE">
        <w:t>In 2045, after the end of the CfD period and the debt repayment period:</w:t>
      </w:r>
    </w:p>
    <w:p w14:paraId="0998A460" w14:textId="242DE43C" w:rsidR="004D5375" w:rsidRPr="00552CEE" w:rsidRDefault="004D5375" w:rsidP="004D5375">
      <w:pPr>
        <w:pStyle w:val="ListParagraph"/>
        <w:numPr>
          <w:ilvl w:val="0"/>
          <w:numId w:val="29"/>
        </w:numPr>
      </w:pPr>
      <w:r w:rsidRPr="00552CEE">
        <w:t>Operating revenue</w:t>
      </w:r>
      <w:r w:rsidR="00272AD9" w:rsidRPr="00552CEE">
        <w:t>:</w:t>
      </w:r>
      <w:r w:rsidRPr="00552CEE">
        <w:t xml:space="preserve"> £2</w:t>
      </w:r>
      <w:r w:rsidR="009824FA" w:rsidRPr="00552CEE">
        <w:t>40</w:t>
      </w:r>
      <w:r w:rsidRPr="00552CEE">
        <w:t xml:space="preserve"> million per year.</w:t>
      </w:r>
    </w:p>
    <w:p w14:paraId="3FE6BEBB" w14:textId="7C2962D7" w:rsidR="004D5375" w:rsidRPr="00552CEE" w:rsidRDefault="004D5375" w:rsidP="004D5375">
      <w:pPr>
        <w:pStyle w:val="ListParagraph"/>
        <w:numPr>
          <w:ilvl w:val="0"/>
          <w:numId w:val="29"/>
        </w:numPr>
      </w:pPr>
      <w:r w:rsidRPr="00552CEE">
        <w:t>Operating revenue minus operating costs</w:t>
      </w:r>
      <w:r w:rsidR="00272AD9" w:rsidRPr="00552CEE">
        <w:t xml:space="preserve">: </w:t>
      </w:r>
      <w:r w:rsidRPr="00552CEE">
        <w:t>£161 million per year.</w:t>
      </w:r>
    </w:p>
    <w:p w14:paraId="122FED32" w14:textId="255DD88F" w:rsidR="004D5375" w:rsidRPr="00552CEE" w:rsidRDefault="004D5375" w:rsidP="004D5375">
      <w:r w:rsidRPr="00552CEE">
        <w:t>This would deliver an equity IRR of 1</w:t>
      </w:r>
      <w:r w:rsidR="007B64C1" w:rsidRPr="00552CEE">
        <w:t>1</w:t>
      </w:r>
      <w:r w:rsidRPr="00552CEE">
        <w:t>.</w:t>
      </w:r>
      <w:r w:rsidR="007B64C1" w:rsidRPr="00552CEE">
        <w:t>9</w:t>
      </w:r>
      <w:r w:rsidRPr="00552CEE">
        <w:t>%</w:t>
      </w:r>
    </w:p>
    <w:p w14:paraId="1654CA31" w14:textId="2D01B661" w:rsidR="000604A4" w:rsidRPr="00552CEE" w:rsidRDefault="000604A4" w:rsidP="000604A4">
      <w:pPr>
        <w:pStyle w:val="Heading2"/>
      </w:pPr>
      <w:r w:rsidRPr="00552CEE">
        <w:lastRenderedPageBreak/>
        <w:t xml:space="preserve">Share </w:t>
      </w:r>
      <w:r w:rsidR="00527220" w:rsidRPr="00552CEE">
        <w:t>ownership</w:t>
      </w:r>
      <w:r w:rsidRPr="00552CEE">
        <w:t xml:space="preserve"> perspective</w:t>
      </w:r>
    </w:p>
    <w:p w14:paraId="0E44D01C" w14:textId="3959B33A" w:rsidR="004119E1" w:rsidRPr="00552CEE" w:rsidRDefault="004119E1" w:rsidP="004119E1">
      <w:pPr>
        <w:pStyle w:val="Heading3"/>
      </w:pPr>
      <w:r w:rsidRPr="00552CEE">
        <w:t xml:space="preserve">Valuation at </w:t>
      </w:r>
      <w:r w:rsidR="00A0244C" w:rsidRPr="00552CEE">
        <w:t>Commercial Operation Date</w:t>
      </w:r>
    </w:p>
    <w:p w14:paraId="37DF4E2F" w14:textId="25B4CE3C" w:rsidR="004119E1" w:rsidRPr="00552CEE" w:rsidRDefault="00450659" w:rsidP="004119E1">
      <w:r w:rsidRPr="00552CEE">
        <w:t>Assuming that shared ownership is agreed at the Commercial Operations Date (COD), the project will be valued based on its expected future revenue streams rather than on the cost of construction. An equity investor is therefore paying for a share of future revenues rather than a share of capital costs.</w:t>
      </w:r>
    </w:p>
    <w:p w14:paraId="1EED48AD" w14:textId="12858BFD" w:rsidR="002B57DE" w:rsidRPr="00552CEE" w:rsidRDefault="00226588" w:rsidP="00653DA5">
      <w:pPr>
        <w:pStyle w:val="Heading4"/>
        <w:numPr>
          <w:ilvl w:val="0"/>
          <w:numId w:val="0"/>
        </w:numPr>
        <w:ind w:left="864" w:hanging="864"/>
      </w:pPr>
      <w:r>
        <w:t xml:space="preserve">Balance sheet </w:t>
      </w:r>
      <w:r w:rsidR="00653DA5" w:rsidRPr="00552CEE">
        <w:t xml:space="preserve">ownership </w:t>
      </w:r>
      <w:r w:rsidR="00C04C79" w:rsidRPr="00552CEE">
        <w:t xml:space="preserve">stake </w:t>
      </w:r>
      <w:r w:rsidR="00653DA5" w:rsidRPr="00552CEE">
        <w:t>valuation</w:t>
      </w:r>
    </w:p>
    <w:p w14:paraId="6D9597CB" w14:textId="75918D6A" w:rsidR="002B57DE" w:rsidRPr="00552CEE" w:rsidRDefault="00D2334D" w:rsidP="002B57DE">
      <w:pPr>
        <w:rPr>
          <w:b/>
          <w:bCs/>
        </w:rPr>
      </w:pPr>
      <w:r w:rsidRPr="00552CEE">
        <w:t xml:space="preserve">This approach applies a discounted cash flow methodology to value the operational revenues and costs. Based on an 8% equity discount rate, the project would be valued at £3.07 billion. </w:t>
      </w:r>
      <w:r w:rsidRPr="00552CEE">
        <w:rPr>
          <w:b/>
          <w:bCs/>
        </w:rPr>
        <w:t xml:space="preserve">A 1% </w:t>
      </w:r>
      <w:r w:rsidR="004575E0">
        <w:rPr>
          <w:b/>
          <w:bCs/>
        </w:rPr>
        <w:t xml:space="preserve">balance sheet project </w:t>
      </w:r>
      <w:r w:rsidRPr="00552CEE">
        <w:rPr>
          <w:b/>
          <w:bCs/>
        </w:rPr>
        <w:t>ownership stake would therefore require an investment of £31 million.</w:t>
      </w:r>
    </w:p>
    <w:p w14:paraId="37441B0C" w14:textId="2441609F" w:rsidR="002B57DE" w:rsidRPr="00552CEE" w:rsidRDefault="00C04C79" w:rsidP="00254C80">
      <w:pPr>
        <w:pStyle w:val="Heading4"/>
        <w:numPr>
          <w:ilvl w:val="0"/>
          <w:numId w:val="0"/>
        </w:numPr>
        <w:ind w:left="864" w:hanging="864"/>
      </w:pPr>
      <w:r w:rsidRPr="00552CEE">
        <w:t>Project finance</w:t>
      </w:r>
      <w:r w:rsidR="00C34476" w:rsidRPr="00552CEE">
        <w:t xml:space="preserve"> </w:t>
      </w:r>
      <w:r w:rsidR="00ED40B0" w:rsidRPr="00552CEE">
        <w:t>ownership</w:t>
      </w:r>
      <w:r w:rsidRPr="00552CEE">
        <w:t xml:space="preserve"> stake valuation</w:t>
      </w:r>
    </w:p>
    <w:p w14:paraId="2CBAD377" w14:textId="1A5EE717" w:rsidR="002B57DE" w:rsidRPr="00552CEE" w:rsidRDefault="006E0A37" w:rsidP="006E0A37">
      <w:pPr>
        <w:rPr>
          <w:b/>
          <w:bCs/>
        </w:rPr>
      </w:pPr>
      <w:r w:rsidRPr="00552CEE">
        <w:t xml:space="preserve">The project valuation is based on the expected cash flows to the equity owners over the lifetime of the project, discounted at an appropriate rate. Based on an 8% equity discount rate, the project would be valued at £1.57 billion at COD. </w:t>
      </w:r>
      <w:r w:rsidRPr="00552CEE">
        <w:rPr>
          <w:b/>
          <w:bCs/>
        </w:rPr>
        <w:t>A 2% equity stake in the project finance SPV would therefore require an investment of £</w:t>
      </w:r>
      <w:r w:rsidR="003E1E1C" w:rsidRPr="00552CEE">
        <w:rPr>
          <w:b/>
          <w:bCs/>
        </w:rPr>
        <w:t>25</w:t>
      </w:r>
      <w:r w:rsidRPr="00552CEE">
        <w:rPr>
          <w:b/>
          <w:bCs/>
        </w:rPr>
        <w:t xml:space="preserve"> million.</w:t>
      </w:r>
    </w:p>
    <w:p w14:paraId="730B90A8" w14:textId="70712E28" w:rsidR="00663D55" w:rsidRPr="00552CEE" w:rsidRDefault="00663D55" w:rsidP="00663D55">
      <w:pPr>
        <w:pStyle w:val="Heading3"/>
      </w:pPr>
      <w:r w:rsidRPr="00552CEE">
        <w:t>Public sector loan</w:t>
      </w:r>
    </w:p>
    <w:p w14:paraId="6C511A1B" w14:textId="094106E9" w:rsidR="00092B4E" w:rsidRPr="00552CEE" w:rsidRDefault="006E0A37" w:rsidP="00663D55">
      <w:r w:rsidRPr="00552CEE">
        <w:t xml:space="preserve">The base case assumes that shared ownership is financed through a public sector loan at a significantly below market interest rate of 2%. Assuming a 20 year repayment period with equal annual repayments covering both principal and interest, this requires a loan of </w:t>
      </w:r>
      <w:r w:rsidR="00F05988" w:rsidRPr="00552CEE">
        <w:t>£</w:t>
      </w:r>
      <w:r w:rsidR="003E12C7" w:rsidRPr="00552CEE">
        <w:t>31</w:t>
      </w:r>
      <w:r w:rsidR="00F05988" w:rsidRPr="00552CEE">
        <w:t xml:space="preserve"> million for the </w:t>
      </w:r>
      <w:r w:rsidR="004575E0">
        <w:t xml:space="preserve">balance sheet </w:t>
      </w:r>
      <w:r w:rsidR="00F05988" w:rsidRPr="00552CEE">
        <w:t xml:space="preserve">ownership model or </w:t>
      </w:r>
      <w:r w:rsidRPr="00552CEE">
        <w:t>£</w:t>
      </w:r>
      <w:r w:rsidR="003E12C7" w:rsidRPr="00552CEE">
        <w:t>25</w:t>
      </w:r>
      <w:r w:rsidRPr="00552CEE">
        <w:t xml:space="preserve"> million </w:t>
      </w:r>
      <w:r w:rsidR="00F05988" w:rsidRPr="00552CEE">
        <w:t>for the project-finance ownership model</w:t>
      </w:r>
      <w:r w:rsidR="00092B4E" w:rsidRPr="00552CEE">
        <w:t>.</w:t>
      </w:r>
      <w:r w:rsidR="00F05988" w:rsidRPr="00552CEE">
        <w:t xml:space="preserve"> </w:t>
      </w:r>
    </w:p>
    <w:p w14:paraId="4556FF58" w14:textId="17143976" w:rsidR="00092B4E" w:rsidRPr="00552CEE" w:rsidRDefault="00092B4E" w:rsidP="00663D55">
      <w:r w:rsidRPr="00552CEE">
        <w:t xml:space="preserve">Under the </w:t>
      </w:r>
      <w:r w:rsidR="004575E0">
        <w:t>balance sheet</w:t>
      </w:r>
      <w:r w:rsidR="008C276B">
        <w:t xml:space="preserve"> </w:t>
      </w:r>
      <w:r w:rsidR="005C0325" w:rsidRPr="00552CEE">
        <w:t>ownership</w:t>
      </w:r>
      <w:r w:rsidRPr="00552CEE">
        <w:t xml:space="preserve"> model this requires an annual repayment of £1.9 million and a total repayment of £37.5 million</w:t>
      </w:r>
      <w:r w:rsidR="00AA2418" w:rsidRPr="00552CEE">
        <w:t xml:space="preserve"> total</w:t>
      </w:r>
    </w:p>
    <w:p w14:paraId="5A0B4159" w14:textId="62E78F0A" w:rsidR="005E53E0" w:rsidRPr="00552CEE" w:rsidRDefault="00AA2418" w:rsidP="00663D55">
      <w:pPr>
        <w:rPr>
          <w:b/>
          <w:bCs/>
        </w:rPr>
      </w:pPr>
      <w:r w:rsidRPr="00552CEE">
        <w:t xml:space="preserve">Under the project finance ownership model </w:t>
      </w:r>
      <w:r w:rsidR="006E0A37" w:rsidRPr="00552CEE">
        <w:t xml:space="preserve">annual repayments </w:t>
      </w:r>
      <w:r w:rsidRPr="00552CEE">
        <w:t xml:space="preserve">would be </w:t>
      </w:r>
      <w:r w:rsidR="006E0A37" w:rsidRPr="00552CEE">
        <w:t>£1</w:t>
      </w:r>
      <w:r w:rsidR="003E1E1C" w:rsidRPr="00552CEE">
        <w:t>.5</w:t>
      </w:r>
      <w:r w:rsidR="006E0A37" w:rsidRPr="00552CEE">
        <w:t xml:space="preserve"> million, with a total repayment of £</w:t>
      </w:r>
      <w:r w:rsidR="001E3D37" w:rsidRPr="00552CEE">
        <w:t>29.9</w:t>
      </w:r>
      <w:r w:rsidR="006E0A37" w:rsidRPr="00552CEE">
        <w:t xml:space="preserve"> million.</w:t>
      </w:r>
    </w:p>
    <w:p w14:paraId="0A0E5DCD" w14:textId="77777777" w:rsidR="005E53E0" w:rsidRPr="00552CEE" w:rsidRDefault="00DA2C7F" w:rsidP="00DA2C7F">
      <w:pPr>
        <w:pStyle w:val="Heading3"/>
      </w:pPr>
      <w:r w:rsidRPr="00552CEE">
        <w:t>Project lifetime</w:t>
      </w:r>
    </w:p>
    <w:p w14:paraId="726ADEA8" w14:textId="77777777" w:rsidR="00A13CA0" w:rsidRPr="00552CEE" w:rsidRDefault="00A13CA0" w:rsidP="00A13CA0">
      <w:r w:rsidRPr="00552CEE">
        <w:t>Cash flows to the SO Company will vary over the lifetime of the project, depending on the different revenue and debt phases. The key stages are:</w:t>
      </w:r>
    </w:p>
    <w:p w14:paraId="08ECC347" w14:textId="77777777" w:rsidR="00A13CA0" w:rsidRPr="00552CEE" w:rsidRDefault="00A13CA0" w:rsidP="00A13CA0">
      <w:pPr>
        <w:numPr>
          <w:ilvl w:val="0"/>
          <w:numId w:val="31"/>
        </w:numPr>
      </w:pPr>
      <w:r w:rsidRPr="00552CEE">
        <w:rPr>
          <w:b/>
          <w:bCs/>
        </w:rPr>
        <w:t>CfD period:</w:t>
      </w:r>
      <w:r w:rsidRPr="00552CEE">
        <w:t xml:space="preserve"> Modelled as Years 1 to 15 under an AR6 CfD. During this period, revenue is stable, based on the fixed CfD strike price, and is high relative to later periods.</w:t>
      </w:r>
    </w:p>
    <w:p w14:paraId="7E0C3229" w14:textId="58CFAEB2" w:rsidR="00A13CA0" w:rsidRPr="00552CEE" w:rsidRDefault="00A13CA0" w:rsidP="00A13CA0">
      <w:pPr>
        <w:numPr>
          <w:ilvl w:val="0"/>
          <w:numId w:val="31"/>
        </w:numPr>
      </w:pPr>
      <w:r w:rsidRPr="00552CEE">
        <w:rPr>
          <w:b/>
          <w:bCs/>
        </w:rPr>
        <w:t>Merchant tail period:</w:t>
      </w:r>
      <w:r w:rsidRPr="00552CEE">
        <w:t xml:space="preserve"> Modelled as Years 16 to 30. The market price captured by the project is assumed to be significantly lower than the CfD strike price. Prices, and therefore revenues, are also more uncertain during this period. This is reflected in the Market Headwinds sensitivity.</w:t>
      </w:r>
    </w:p>
    <w:p w14:paraId="34ED5804" w14:textId="77777777" w:rsidR="00A13CA0" w:rsidRPr="00552CEE" w:rsidRDefault="00A13CA0" w:rsidP="00A13CA0">
      <w:pPr>
        <w:numPr>
          <w:ilvl w:val="0"/>
          <w:numId w:val="31"/>
        </w:numPr>
      </w:pPr>
      <w:r w:rsidRPr="00552CEE">
        <w:rPr>
          <w:b/>
          <w:bCs/>
        </w:rPr>
        <w:t>Commercial debt period:</w:t>
      </w:r>
      <w:r w:rsidRPr="00552CEE">
        <w:t xml:space="preserve"> Modelled as Years 1 to 15 under the project finance ownership model. During this period, commercial debt must be serviced before cash </w:t>
      </w:r>
      <w:r w:rsidRPr="00552CEE">
        <w:lastRenderedPageBreak/>
        <w:t>flows are distributed to equity holders, including the SO Company. As a result, less cash flow is available to the SO Company than in the period after the commercial debt has been repaid.</w:t>
      </w:r>
    </w:p>
    <w:p w14:paraId="3CE39BF9" w14:textId="0D9BAF19" w:rsidR="00DA2C7F" w:rsidRPr="00552CEE" w:rsidRDefault="00A13CA0" w:rsidP="00A13CA0">
      <w:pPr>
        <w:numPr>
          <w:ilvl w:val="0"/>
          <w:numId w:val="31"/>
        </w:numPr>
      </w:pPr>
      <w:r w:rsidRPr="00552CEE">
        <w:rPr>
          <w:b/>
          <w:bCs/>
        </w:rPr>
        <w:t>Public sector debt period:</w:t>
      </w:r>
      <w:r w:rsidRPr="00552CEE">
        <w:t xml:space="preserve"> Modelled as Years 1 to 20. During this period, the SO Company must service the public sector loan before any remaining cash flows are available for other activities.</w:t>
      </w:r>
      <w:r w:rsidR="00827023" w:rsidRPr="00552CEE">
        <w:t xml:space="preserve"> </w:t>
      </w:r>
    </w:p>
    <w:p w14:paraId="12C9ABEE" w14:textId="6D97E63C" w:rsidR="00A13CA0" w:rsidRPr="00552CEE" w:rsidRDefault="00A13CA0" w:rsidP="00A13CA0">
      <w:pPr>
        <w:sectPr w:rsidR="00A13CA0" w:rsidRPr="00552CEE" w:rsidSect="00023C60">
          <w:pgSz w:w="11906" w:h="16838"/>
          <w:pgMar w:top="1135" w:right="1440" w:bottom="851" w:left="1440" w:header="708" w:footer="708" w:gutter="0"/>
          <w:cols w:space="708"/>
          <w:docGrid w:linePitch="360"/>
        </w:sectPr>
      </w:pPr>
    </w:p>
    <w:p w14:paraId="551B3FA5" w14:textId="2644848E" w:rsidR="00663D55" w:rsidRPr="00552CEE" w:rsidRDefault="005E53E0" w:rsidP="005E53E0">
      <w:pPr>
        <w:pStyle w:val="Heading2"/>
      </w:pPr>
      <w:r w:rsidRPr="00552CEE">
        <w:lastRenderedPageBreak/>
        <w:t xml:space="preserve">Shared Ownership cash flows – </w:t>
      </w:r>
      <w:r w:rsidR="00226588">
        <w:t>balance sheet</w:t>
      </w:r>
    </w:p>
    <w:p w14:paraId="0748E944" w14:textId="029188DA" w:rsidR="00123C97" w:rsidRPr="00552CEE" w:rsidRDefault="00123C97" w:rsidP="00123C97">
      <w:r w:rsidRPr="00552CEE">
        <w:t>The table below shows undiscounted cash flows in three illustrative years:</w:t>
      </w:r>
    </w:p>
    <w:p w14:paraId="13298BF4" w14:textId="42B57D02" w:rsidR="00123C97" w:rsidRPr="00552CEE" w:rsidRDefault="00123C97" w:rsidP="00123C97">
      <w:pPr>
        <w:pStyle w:val="ListParagraph"/>
        <w:numPr>
          <w:ilvl w:val="0"/>
          <w:numId w:val="10"/>
        </w:numPr>
      </w:pPr>
      <w:r w:rsidRPr="00552CEE">
        <w:rPr>
          <w:b/>
          <w:bCs/>
        </w:rPr>
        <w:t>2030:</w:t>
      </w:r>
      <w:r w:rsidRPr="00552CEE">
        <w:t xml:space="preserve"> the CfD period</w:t>
      </w:r>
      <w:r w:rsidR="000C4696" w:rsidRPr="00552CEE">
        <w:t xml:space="preserve"> with public sector loan</w:t>
      </w:r>
      <w:r w:rsidRPr="00552CEE">
        <w:t>.</w:t>
      </w:r>
    </w:p>
    <w:p w14:paraId="3BEAD699" w14:textId="40BCC8AB" w:rsidR="00123C97" w:rsidRPr="00552CEE" w:rsidRDefault="00123C97" w:rsidP="00123C97">
      <w:pPr>
        <w:pStyle w:val="ListParagraph"/>
        <w:numPr>
          <w:ilvl w:val="0"/>
          <w:numId w:val="10"/>
        </w:numPr>
      </w:pPr>
      <w:r w:rsidRPr="00552CEE">
        <w:rPr>
          <w:b/>
          <w:bCs/>
        </w:rPr>
        <w:t>2043:</w:t>
      </w:r>
      <w:r w:rsidRPr="00552CEE">
        <w:t xml:space="preserve"> the merchant tail period, but still within the public sector loan period.</w:t>
      </w:r>
    </w:p>
    <w:p w14:paraId="3B3785F2" w14:textId="22268BA3" w:rsidR="00123C97" w:rsidRPr="00552CEE" w:rsidRDefault="00123C97" w:rsidP="00123C97">
      <w:pPr>
        <w:pStyle w:val="ListParagraph"/>
        <w:numPr>
          <w:ilvl w:val="0"/>
          <w:numId w:val="10"/>
        </w:numPr>
      </w:pPr>
      <w:r w:rsidRPr="00552CEE">
        <w:rPr>
          <w:b/>
          <w:bCs/>
        </w:rPr>
        <w:t>2048:</w:t>
      </w:r>
      <w:r w:rsidRPr="00552CEE">
        <w:t xml:space="preserve"> the merchant tail period following the end of the public sector loan.</w:t>
      </w:r>
    </w:p>
    <w:p w14:paraId="3513750A" w14:textId="0EA266A8" w:rsidR="00B461C1" w:rsidRPr="00552CEE" w:rsidRDefault="00B461C1" w:rsidP="00123C97">
      <w:pPr>
        <w:pStyle w:val="ListParagraph"/>
      </w:pPr>
    </w:p>
    <w:p w14:paraId="6A82CFE2" w14:textId="0675ED5E" w:rsidR="00A8338C" w:rsidRPr="00552CEE" w:rsidRDefault="00A8338C" w:rsidP="00A8338C">
      <w:pPr>
        <w:pStyle w:val="Caption"/>
        <w:keepNext/>
        <w:jc w:val="center"/>
      </w:pPr>
      <w:r w:rsidRPr="00552CEE">
        <w:t xml:space="preserve">Table </w:t>
      </w:r>
      <w:fldSimple w:instr=" SEQ Table \* ARABIC ">
        <w:r w:rsidR="00BA359F">
          <w:rPr>
            <w:noProof/>
          </w:rPr>
          <w:t>4</w:t>
        </w:r>
      </w:fldSimple>
      <w:r w:rsidRPr="00552CEE">
        <w:t xml:space="preserve">: Cash flow waterfall for 1% equity stake in commercial balance sheet project under </w:t>
      </w:r>
      <w:r w:rsidR="00607E57" w:rsidRPr="00552CEE">
        <w:t>basecase. Results g</w:t>
      </w:r>
      <w:r w:rsidRPr="00552CEE">
        <w:t>iven in three years (2030: CfD period + public sector debt; 2043: merchant tail + public sector debt; 2048: merchant tail + no debt)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81"/>
        <w:gridCol w:w="1466"/>
        <w:gridCol w:w="1466"/>
        <w:gridCol w:w="1467"/>
        <w:gridCol w:w="1346"/>
      </w:tblGrid>
      <w:tr w:rsidR="008C276B" w:rsidRPr="00552CEE" w14:paraId="0A2519CC" w14:textId="143617D1" w:rsidTr="008C276B">
        <w:tc>
          <w:tcPr>
            <w:tcW w:w="3281" w:type="dxa"/>
            <w:shd w:val="clear" w:color="auto" w:fill="D0CECE" w:themeFill="background2" w:themeFillShade="E6"/>
          </w:tcPr>
          <w:p w14:paraId="2CF46FFB" w14:textId="47B89E10" w:rsidR="008C276B" w:rsidRPr="00552CEE" w:rsidRDefault="008C276B" w:rsidP="00815569">
            <w:pPr>
              <w:rPr>
                <w:i/>
                <w:iCs/>
              </w:rPr>
            </w:pPr>
            <w:r w:rsidRPr="00552CEE">
              <w:rPr>
                <w:i/>
                <w:iCs/>
                <w:sz w:val="20"/>
                <w:szCs w:val="20"/>
              </w:rPr>
              <w:t>Values in £million (2025, real, undiscounted)</w:t>
            </w:r>
          </w:p>
        </w:tc>
        <w:tc>
          <w:tcPr>
            <w:tcW w:w="1466" w:type="dxa"/>
            <w:shd w:val="clear" w:color="auto" w:fill="D0CECE" w:themeFill="background2" w:themeFillShade="E6"/>
          </w:tcPr>
          <w:p w14:paraId="3878B784" w14:textId="6413F3C9" w:rsidR="008C276B" w:rsidRPr="00552CEE" w:rsidRDefault="008C276B" w:rsidP="005C0A6C">
            <w:pPr>
              <w:jc w:val="center"/>
            </w:pPr>
            <w:r w:rsidRPr="00552CEE">
              <w:t>2030</w:t>
            </w:r>
          </w:p>
        </w:tc>
        <w:tc>
          <w:tcPr>
            <w:tcW w:w="1466" w:type="dxa"/>
            <w:shd w:val="clear" w:color="auto" w:fill="D0CECE" w:themeFill="background2" w:themeFillShade="E6"/>
          </w:tcPr>
          <w:p w14:paraId="6ADDA803" w14:textId="29A4B624" w:rsidR="008C276B" w:rsidRPr="00552CEE" w:rsidRDefault="008C276B" w:rsidP="005C0A6C">
            <w:pPr>
              <w:jc w:val="center"/>
            </w:pPr>
            <w:r w:rsidRPr="00552CEE">
              <w:t>2043</w:t>
            </w:r>
          </w:p>
        </w:tc>
        <w:tc>
          <w:tcPr>
            <w:tcW w:w="1467" w:type="dxa"/>
            <w:shd w:val="clear" w:color="auto" w:fill="D0CECE" w:themeFill="background2" w:themeFillShade="E6"/>
          </w:tcPr>
          <w:p w14:paraId="0BD3F911" w14:textId="26E6172D" w:rsidR="008C276B" w:rsidRPr="00552CEE" w:rsidRDefault="008C276B" w:rsidP="005C0A6C">
            <w:pPr>
              <w:jc w:val="center"/>
            </w:pPr>
            <w:r w:rsidRPr="00552CEE">
              <w:t>2048</w:t>
            </w:r>
          </w:p>
        </w:tc>
        <w:tc>
          <w:tcPr>
            <w:tcW w:w="1346" w:type="dxa"/>
            <w:shd w:val="clear" w:color="auto" w:fill="D0CECE" w:themeFill="background2" w:themeFillShade="E6"/>
          </w:tcPr>
          <w:p w14:paraId="7A3C6E69" w14:textId="631A3DF5" w:rsidR="008C276B" w:rsidRPr="00552CEE" w:rsidRDefault="008C276B" w:rsidP="005C0A6C">
            <w:pPr>
              <w:jc w:val="center"/>
            </w:pPr>
            <w:r>
              <w:t>2028-58</w:t>
            </w:r>
          </w:p>
        </w:tc>
      </w:tr>
      <w:tr w:rsidR="008C276B" w:rsidRPr="00552CEE" w14:paraId="3595A919" w14:textId="7B64A8E7" w:rsidTr="008C276B">
        <w:tc>
          <w:tcPr>
            <w:tcW w:w="3281" w:type="dxa"/>
          </w:tcPr>
          <w:p w14:paraId="2C2C17F3" w14:textId="77777777" w:rsidR="008C276B" w:rsidRPr="00552CEE" w:rsidRDefault="008C276B" w:rsidP="003068D4">
            <w:r w:rsidRPr="00552CEE">
              <w:t xml:space="preserve">Upfront stake: £31million </w:t>
            </w:r>
          </w:p>
          <w:p w14:paraId="5304824F" w14:textId="3D3E8B16" w:rsidR="008C276B" w:rsidRPr="00552CEE" w:rsidRDefault="008C276B" w:rsidP="003068D4">
            <w:r w:rsidRPr="00552CEE">
              <w:t>(1% of physical project)</w:t>
            </w:r>
          </w:p>
        </w:tc>
        <w:tc>
          <w:tcPr>
            <w:tcW w:w="1466" w:type="dxa"/>
          </w:tcPr>
          <w:p w14:paraId="6F07E691" w14:textId="2945414E" w:rsidR="008C276B" w:rsidRPr="00552CEE" w:rsidRDefault="008C276B" w:rsidP="005C0A6C">
            <w:pPr>
              <w:jc w:val="center"/>
            </w:pPr>
          </w:p>
        </w:tc>
        <w:tc>
          <w:tcPr>
            <w:tcW w:w="1466" w:type="dxa"/>
          </w:tcPr>
          <w:p w14:paraId="6F82ECEA" w14:textId="77777777" w:rsidR="008C276B" w:rsidRPr="00552CEE" w:rsidRDefault="008C276B" w:rsidP="005C0A6C">
            <w:pPr>
              <w:jc w:val="center"/>
            </w:pPr>
          </w:p>
        </w:tc>
        <w:tc>
          <w:tcPr>
            <w:tcW w:w="1467" w:type="dxa"/>
          </w:tcPr>
          <w:p w14:paraId="1D2528A9" w14:textId="08924C39" w:rsidR="008C276B" w:rsidRPr="00552CEE" w:rsidRDefault="008C276B" w:rsidP="005C0A6C">
            <w:pPr>
              <w:jc w:val="center"/>
            </w:pPr>
          </w:p>
        </w:tc>
        <w:tc>
          <w:tcPr>
            <w:tcW w:w="1346" w:type="dxa"/>
          </w:tcPr>
          <w:p w14:paraId="5FB0A25F" w14:textId="77777777" w:rsidR="008C276B" w:rsidRPr="00552CEE" w:rsidRDefault="008C276B" w:rsidP="005C0A6C">
            <w:pPr>
              <w:jc w:val="center"/>
            </w:pPr>
          </w:p>
        </w:tc>
      </w:tr>
      <w:tr w:rsidR="008C276B" w:rsidRPr="00552CEE" w14:paraId="42C9DB74" w14:textId="16520B7A" w:rsidTr="008C276B">
        <w:tc>
          <w:tcPr>
            <w:tcW w:w="3281" w:type="dxa"/>
            <w:vAlign w:val="bottom"/>
          </w:tcPr>
          <w:p w14:paraId="4C5B6E97" w14:textId="61A7A09F" w:rsidR="008C276B" w:rsidRPr="00552CEE" w:rsidRDefault="008C276B" w:rsidP="005C0A6C">
            <w:r w:rsidRPr="00552CEE">
              <w:t>Revenue</w:t>
            </w:r>
          </w:p>
        </w:tc>
        <w:tc>
          <w:tcPr>
            <w:tcW w:w="1466" w:type="dxa"/>
          </w:tcPr>
          <w:p w14:paraId="6AAE7BA2" w14:textId="1F50364D" w:rsidR="008C276B" w:rsidRPr="00552CEE" w:rsidRDefault="008C276B" w:rsidP="005C0A6C">
            <w:pPr>
              <w:jc w:val="center"/>
            </w:pPr>
            <w:r w:rsidRPr="00552CEE">
              <w:t>3.8</w:t>
            </w:r>
          </w:p>
        </w:tc>
        <w:tc>
          <w:tcPr>
            <w:tcW w:w="1466" w:type="dxa"/>
          </w:tcPr>
          <w:p w14:paraId="0E63AA52" w14:textId="17E235C7" w:rsidR="008C276B" w:rsidRPr="00552CEE" w:rsidRDefault="008C276B" w:rsidP="005C0A6C">
            <w:pPr>
              <w:jc w:val="center"/>
            </w:pPr>
            <w:r w:rsidRPr="00552CEE">
              <w:t>2.4</w:t>
            </w:r>
          </w:p>
        </w:tc>
        <w:tc>
          <w:tcPr>
            <w:tcW w:w="1467" w:type="dxa"/>
          </w:tcPr>
          <w:p w14:paraId="71724F28" w14:textId="78AAC105" w:rsidR="008C276B" w:rsidRPr="00552CEE" w:rsidRDefault="008C276B" w:rsidP="005C0A6C">
            <w:pPr>
              <w:jc w:val="center"/>
            </w:pPr>
            <w:r w:rsidRPr="00552CEE">
              <w:t>2.4</w:t>
            </w:r>
          </w:p>
        </w:tc>
        <w:tc>
          <w:tcPr>
            <w:tcW w:w="1346" w:type="dxa"/>
          </w:tcPr>
          <w:p w14:paraId="648F0F8D" w14:textId="77777777" w:rsidR="008C276B" w:rsidRPr="00552CEE" w:rsidRDefault="008C276B" w:rsidP="005C0A6C">
            <w:pPr>
              <w:jc w:val="center"/>
            </w:pPr>
          </w:p>
        </w:tc>
      </w:tr>
      <w:tr w:rsidR="008C276B" w:rsidRPr="00552CEE" w14:paraId="4F10C1E4" w14:textId="5F5471F5" w:rsidTr="008C276B">
        <w:tc>
          <w:tcPr>
            <w:tcW w:w="3281" w:type="dxa"/>
            <w:vAlign w:val="bottom"/>
          </w:tcPr>
          <w:p w14:paraId="54F4D6AB" w14:textId="76C9D29E" w:rsidR="008C276B" w:rsidRPr="00552CEE" w:rsidRDefault="008C276B" w:rsidP="005C0A6C">
            <w:r w:rsidRPr="00552CEE">
              <w:t>Operating Costs</w:t>
            </w:r>
          </w:p>
        </w:tc>
        <w:tc>
          <w:tcPr>
            <w:tcW w:w="1466" w:type="dxa"/>
          </w:tcPr>
          <w:p w14:paraId="4FDC3CAE" w14:textId="633FDC45" w:rsidR="008C276B" w:rsidRPr="00552CEE" w:rsidRDefault="008C276B" w:rsidP="005C0A6C">
            <w:pPr>
              <w:jc w:val="center"/>
            </w:pPr>
            <w:r w:rsidRPr="00552CEE">
              <w:t>0.8</w:t>
            </w:r>
          </w:p>
        </w:tc>
        <w:tc>
          <w:tcPr>
            <w:tcW w:w="1466" w:type="dxa"/>
          </w:tcPr>
          <w:p w14:paraId="50C95DA4" w14:textId="5C35C079" w:rsidR="008C276B" w:rsidRPr="00552CEE" w:rsidRDefault="008C276B" w:rsidP="005C0A6C">
            <w:pPr>
              <w:jc w:val="center"/>
            </w:pPr>
            <w:r w:rsidRPr="00552CEE">
              <w:t>0.8</w:t>
            </w:r>
          </w:p>
        </w:tc>
        <w:tc>
          <w:tcPr>
            <w:tcW w:w="1467" w:type="dxa"/>
          </w:tcPr>
          <w:p w14:paraId="0D3F4520" w14:textId="49BBE629" w:rsidR="008C276B" w:rsidRPr="00552CEE" w:rsidRDefault="008C276B" w:rsidP="005C0A6C">
            <w:pPr>
              <w:jc w:val="center"/>
            </w:pPr>
            <w:r w:rsidRPr="00552CEE">
              <w:t>0.8</w:t>
            </w:r>
          </w:p>
        </w:tc>
        <w:tc>
          <w:tcPr>
            <w:tcW w:w="1346" w:type="dxa"/>
          </w:tcPr>
          <w:p w14:paraId="45A4A6C2" w14:textId="77777777" w:rsidR="008C276B" w:rsidRPr="00552CEE" w:rsidRDefault="008C276B" w:rsidP="005C0A6C">
            <w:pPr>
              <w:jc w:val="center"/>
            </w:pPr>
          </w:p>
        </w:tc>
      </w:tr>
      <w:tr w:rsidR="008C276B" w:rsidRPr="00552CEE" w14:paraId="18F6F8C8" w14:textId="589E49C0" w:rsidTr="008C276B">
        <w:tc>
          <w:tcPr>
            <w:tcW w:w="3281" w:type="dxa"/>
            <w:vAlign w:val="bottom"/>
          </w:tcPr>
          <w:p w14:paraId="50EB2A22" w14:textId="3307BB6A" w:rsidR="008C276B" w:rsidRPr="00552CEE" w:rsidRDefault="008C276B" w:rsidP="005C0A6C">
            <w:pPr>
              <w:rPr>
                <w:color w:val="BFBFBF" w:themeColor="background1" w:themeShade="BF"/>
              </w:rPr>
            </w:pPr>
            <w:r w:rsidRPr="00552CEE">
              <w:rPr>
                <w:color w:val="BFBFBF" w:themeColor="background1" w:themeShade="BF"/>
              </w:rPr>
              <w:t>Commercial debt servicing</w:t>
            </w:r>
          </w:p>
        </w:tc>
        <w:tc>
          <w:tcPr>
            <w:tcW w:w="1466" w:type="dxa"/>
          </w:tcPr>
          <w:p w14:paraId="68BC402D" w14:textId="23F23B07" w:rsidR="008C276B" w:rsidRPr="00552CEE" w:rsidRDefault="008C276B" w:rsidP="005C0A6C">
            <w:pPr>
              <w:jc w:val="center"/>
              <w:rPr>
                <w:color w:val="BFBFBF" w:themeColor="background1" w:themeShade="BF"/>
              </w:rPr>
            </w:pPr>
            <w:r w:rsidRPr="00552CEE">
              <w:rPr>
                <w:color w:val="BFBFBF" w:themeColor="background1" w:themeShade="BF"/>
              </w:rPr>
              <w:t>0.0</w:t>
            </w:r>
          </w:p>
        </w:tc>
        <w:tc>
          <w:tcPr>
            <w:tcW w:w="1466" w:type="dxa"/>
          </w:tcPr>
          <w:p w14:paraId="16A67DAF" w14:textId="1525D01B" w:rsidR="008C276B" w:rsidRPr="00552CEE" w:rsidRDefault="008C276B" w:rsidP="005C0A6C">
            <w:pPr>
              <w:jc w:val="center"/>
              <w:rPr>
                <w:color w:val="BFBFBF" w:themeColor="background1" w:themeShade="BF"/>
              </w:rPr>
            </w:pPr>
            <w:r w:rsidRPr="00552CEE">
              <w:rPr>
                <w:color w:val="BFBFBF" w:themeColor="background1" w:themeShade="BF"/>
              </w:rPr>
              <w:t>0.0</w:t>
            </w:r>
          </w:p>
        </w:tc>
        <w:tc>
          <w:tcPr>
            <w:tcW w:w="1467" w:type="dxa"/>
          </w:tcPr>
          <w:p w14:paraId="35C50097" w14:textId="48798AC9" w:rsidR="008C276B" w:rsidRPr="00552CEE" w:rsidRDefault="008C276B" w:rsidP="005C0A6C">
            <w:pPr>
              <w:jc w:val="center"/>
              <w:rPr>
                <w:color w:val="BFBFBF" w:themeColor="background1" w:themeShade="BF"/>
              </w:rPr>
            </w:pPr>
            <w:r w:rsidRPr="00552CEE">
              <w:rPr>
                <w:color w:val="BFBFBF" w:themeColor="background1" w:themeShade="BF"/>
              </w:rPr>
              <w:t>0.0</w:t>
            </w:r>
          </w:p>
        </w:tc>
        <w:tc>
          <w:tcPr>
            <w:tcW w:w="1346" w:type="dxa"/>
          </w:tcPr>
          <w:p w14:paraId="4B802C75" w14:textId="77777777" w:rsidR="008C276B" w:rsidRPr="00552CEE" w:rsidRDefault="008C276B" w:rsidP="005C0A6C">
            <w:pPr>
              <w:jc w:val="center"/>
              <w:rPr>
                <w:color w:val="BFBFBF" w:themeColor="background1" w:themeShade="BF"/>
              </w:rPr>
            </w:pPr>
          </w:p>
        </w:tc>
      </w:tr>
      <w:tr w:rsidR="008C276B" w:rsidRPr="00552CEE" w14:paraId="36213CBE" w14:textId="0F3658F4" w:rsidTr="008C276B">
        <w:tc>
          <w:tcPr>
            <w:tcW w:w="3281" w:type="dxa"/>
            <w:vAlign w:val="bottom"/>
          </w:tcPr>
          <w:p w14:paraId="55B2E2DA" w14:textId="2CA4C94C" w:rsidR="008C276B" w:rsidRPr="00552CEE" w:rsidRDefault="008C276B" w:rsidP="006369D0">
            <w:r w:rsidRPr="00552CEE">
              <w:t>Cash flow from project to SO</w:t>
            </w:r>
          </w:p>
        </w:tc>
        <w:tc>
          <w:tcPr>
            <w:tcW w:w="1466" w:type="dxa"/>
          </w:tcPr>
          <w:p w14:paraId="4AB5A900" w14:textId="1ECF4DF7" w:rsidR="008C276B" w:rsidRPr="00552CEE" w:rsidRDefault="008C276B" w:rsidP="006369D0">
            <w:pPr>
              <w:jc w:val="center"/>
            </w:pPr>
            <w:r w:rsidRPr="00552CEE">
              <w:t>3.0</w:t>
            </w:r>
          </w:p>
        </w:tc>
        <w:tc>
          <w:tcPr>
            <w:tcW w:w="1466" w:type="dxa"/>
          </w:tcPr>
          <w:p w14:paraId="5EE4D930" w14:textId="66AD4FBB" w:rsidR="008C276B" w:rsidRPr="00552CEE" w:rsidRDefault="008C276B" w:rsidP="006369D0">
            <w:pPr>
              <w:jc w:val="center"/>
            </w:pPr>
            <w:r w:rsidRPr="00552CEE">
              <w:t>1.6</w:t>
            </w:r>
          </w:p>
        </w:tc>
        <w:tc>
          <w:tcPr>
            <w:tcW w:w="1467" w:type="dxa"/>
          </w:tcPr>
          <w:p w14:paraId="00CA3EC7" w14:textId="79CE1D54" w:rsidR="008C276B" w:rsidRPr="00552CEE" w:rsidRDefault="008C276B" w:rsidP="006369D0">
            <w:pPr>
              <w:jc w:val="center"/>
            </w:pPr>
            <w:r w:rsidRPr="00552CEE">
              <w:t>1.6</w:t>
            </w:r>
          </w:p>
        </w:tc>
        <w:tc>
          <w:tcPr>
            <w:tcW w:w="1346" w:type="dxa"/>
          </w:tcPr>
          <w:p w14:paraId="32FF30F4" w14:textId="77777777" w:rsidR="008C276B" w:rsidRPr="00552CEE" w:rsidRDefault="008C276B" w:rsidP="006369D0">
            <w:pPr>
              <w:jc w:val="center"/>
            </w:pPr>
          </w:p>
        </w:tc>
      </w:tr>
      <w:tr w:rsidR="008C276B" w:rsidRPr="00552CEE" w14:paraId="60C7A81F" w14:textId="0305CFD8" w:rsidTr="008C276B">
        <w:tc>
          <w:tcPr>
            <w:tcW w:w="3281" w:type="dxa"/>
            <w:vAlign w:val="bottom"/>
          </w:tcPr>
          <w:p w14:paraId="34241366" w14:textId="34CD34F9" w:rsidR="008C276B" w:rsidRPr="00552CEE" w:rsidRDefault="008C276B" w:rsidP="006369D0">
            <w:r w:rsidRPr="00552CEE">
              <w:t>Public Sector loan servicing</w:t>
            </w:r>
          </w:p>
        </w:tc>
        <w:tc>
          <w:tcPr>
            <w:tcW w:w="1466" w:type="dxa"/>
          </w:tcPr>
          <w:p w14:paraId="670909BE" w14:textId="11EECF14" w:rsidR="008C276B" w:rsidRPr="00552CEE" w:rsidRDefault="008C276B" w:rsidP="006369D0">
            <w:pPr>
              <w:jc w:val="center"/>
            </w:pPr>
            <w:r w:rsidRPr="00552CEE">
              <w:t>1.9</w:t>
            </w:r>
          </w:p>
        </w:tc>
        <w:tc>
          <w:tcPr>
            <w:tcW w:w="1466" w:type="dxa"/>
          </w:tcPr>
          <w:p w14:paraId="41D64A8E" w14:textId="21D8B46B" w:rsidR="008C276B" w:rsidRPr="00552CEE" w:rsidRDefault="008C276B" w:rsidP="006369D0">
            <w:pPr>
              <w:jc w:val="center"/>
            </w:pPr>
            <w:r w:rsidRPr="00552CEE">
              <w:t>1.9</w:t>
            </w:r>
          </w:p>
        </w:tc>
        <w:tc>
          <w:tcPr>
            <w:tcW w:w="1467" w:type="dxa"/>
          </w:tcPr>
          <w:p w14:paraId="0E996692" w14:textId="73481753" w:rsidR="008C276B" w:rsidRPr="00552CEE" w:rsidRDefault="008C276B" w:rsidP="006369D0">
            <w:pPr>
              <w:jc w:val="center"/>
            </w:pPr>
            <w:r w:rsidRPr="00552CEE">
              <w:t>0.0</w:t>
            </w:r>
          </w:p>
        </w:tc>
        <w:tc>
          <w:tcPr>
            <w:tcW w:w="1346" w:type="dxa"/>
          </w:tcPr>
          <w:p w14:paraId="110344B9" w14:textId="77777777" w:rsidR="008C276B" w:rsidRPr="00552CEE" w:rsidRDefault="008C276B" w:rsidP="006369D0">
            <w:pPr>
              <w:jc w:val="center"/>
            </w:pPr>
          </w:p>
        </w:tc>
      </w:tr>
      <w:tr w:rsidR="008C276B" w:rsidRPr="00552CEE" w14:paraId="635E142B" w14:textId="457029FA" w:rsidTr="008C276B">
        <w:tc>
          <w:tcPr>
            <w:tcW w:w="3281" w:type="dxa"/>
            <w:vAlign w:val="bottom"/>
          </w:tcPr>
          <w:p w14:paraId="23DDD88B" w14:textId="2DEA1879" w:rsidR="008C276B" w:rsidRPr="00552CEE" w:rsidRDefault="008C276B" w:rsidP="006369D0">
            <w:r w:rsidRPr="00552CEE">
              <w:t>Final SO income</w:t>
            </w:r>
          </w:p>
        </w:tc>
        <w:tc>
          <w:tcPr>
            <w:tcW w:w="1466" w:type="dxa"/>
          </w:tcPr>
          <w:p w14:paraId="10C9134E" w14:textId="118AFDA6" w:rsidR="008C276B" w:rsidRPr="00552CEE" w:rsidRDefault="008C276B" w:rsidP="006369D0">
            <w:pPr>
              <w:jc w:val="center"/>
            </w:pPr>
            <w:r w:rsidRPr="00552CEE">
              <w:t>1.1</w:t>
            </w:r>
          </w:p>
        </w:tc>
        <w:tc>
          <w:tcPr>
            <w:tcW w:w="1466" w:type="dxa"/>
          </w:tcPr>
          <w:p w14:paraId="3D042A30" w14:textId="118E2D8A" w:rsidR="008C276B" w:rsidRPr="00552CEE" w:rsidRDefault="008C276B" w:rsidP="006369D0">
            <w:pPr>
              <w:jc w:val="center"/>
            </w:pPr>
            <w:r w:rsidRPr="00552CEE">
              <w:rPr>
                <w:color w:val="C00000" w:themeColor="accent4"/>
              </w:rPr>
              <w:t>-0.3</w:t>
            </w:r>
          </w:p>
        </w:tc>
        <w:tc>
          <w:tcPr>
            <w:tcW w:w="1467" w:type="dxa"/>
          </w:tcPr>
          <w:p w14:paraId="0CF663C4" w14:textId="2FB3B614" w:rsidR="008C276B" w:rsidRPr="00552CEE" w:rsidRDefault="008C276B" w:rsidP="006369D0">
            <w:pPr>
              <w:jc w:val="center"/>
            </w:pPr>
            <w:r w:rsidRPr="00552CEE">
              <w:t>1.6</w:t>
            </w:r>
          </w:p>
        </w:tc>
        <w:tc>
          <w:tcPr>
            <w:tcW w:w="1346" w:type="dxa"/>
          </w:tcPr>
          <w:p w14:paraId="7B073236" w14:textId="77777777" w:rsidR="008C276B" w:rsidRPr="00552CEE" w:rsidRDefault="008C276B" w:rsidP="006369D0">
            <w:pPr>
              <w:jc w:val="center"/>
            </w:pPr>
          </w:p>
        </w:tc>
      </w:tr>
      <w:tr w:rsidR="008C276B" w:rsidRPr="00552CEE" w14:paraId="07E7D957" w14:textId="5E1E2C04" w:rsidTr="008C276B">
        <w:tc>
          <w:tcPr>
            <w:tcW w:w="3281" w:type="dxa"/>
            <w:vAlign w:val="bottom"/>
          </w:tcPr>
          <w:p w14:paraId="2E1C741D" w14:textId="77777777" w:rsidR="008C276B" w:rsidRDefault="00625C0B" w:rsidP="006369D0">
            <w:r>
              <w:t>Cumulative lifetime income</w:t>
            </w:r>
          </w:p>
          <w:p w14:paraId="68E1F2A7" w14:textId="05CFF41C" w:rsidR="00625C0B" w:rsidRPr="00552CEE" w:rsidRDefault="00625C0B" w:rsidP="006369D0">
            <w:r>
              <w:t>(30 years, undiscounted)</w:t>
            </w:r>
          </w:p>
        </w:tc>
        <w:tc>
          <w:tcPr>
            <w:tcW w:w="1466" w:type="dxa"/>
          </w:tcPr>
          <w:p w14:paraId="3F26E58E" w14:textId="77777777" w:rsidR="008C276B" w:rsidRPr="00552CEE" w:rsidRDefault="008C276B" w:rsidP="006369D0">
            <w:pPr>
              <w:jc w:val="center"/>
            </w:pPr>
          </w:p>
        </w:tc>
        <w:tc>
          <w:tcPr>
            <w:tcW w:w="1466" w:type="dxa"/>
          </w:tcPr>
          <w:p w14:paraId="52416036" w14:textId="77777777" w:rsidR="008C276B" w:rsidRPr="00552CEE" w:rsidRDefault="008C276B" w:rsidP="006369D0">
            <w:pPr>
              <w:jc w:val="center"/>
              <w:rPr>
                <w:color w:val="C00000" w:themeColor="accent4"/>
              </w:rPr>
            </w:pPr>
          </w:p>
        </w:tc>
        <w:tc>
          <w:tcPr>
            <w:tcW w:w="1467" w:type="dxa"/>
          </w:tcPr>
          <w:p w14:paraId="3114D97A" w14:textId="77777777" w:rsidR="008C276B" w:rsidRPr="00552CEE" w:rsidRDefault="008C276B" w:rsidP="006369D0">
            <w:pPr>
              <w:jc w:val="center"/>
            </w:pPr>
          </w:p>
        </w:tc>
        <w:tc>
          <w:tcPr>
            <w:tcW w:w="1346" w:type="dxa"/>
          </w:tcPr>
          <w:p w14:paraId="468B6C98" w14:textId="06DE7A8A" w:rsidR="008C276B" w:rsidRPr="00552CEE" w:rsidRDefault="008C276B" w:rsidP="006369D0">
            <w:pPr>
              <w:jc w:val="center"/>
            </w:pPr>
            <w:r>
              <w:t>31</w:t>
            </w:r>
            <w:r w:rsidR="00625C0B">
              <w:t>.0</w:t>
            </w:r>
          </w:p>
        </w:tc>
      </w:tr>
    </w:tbl>
    <w:p w14:paraId="2264407B" w14:textId="58177419" w:rsidR="00A04052" w:rsidRPr="00552CEE" w:rsidRDefault="00A04052" w:rsidP="00815569"/>
    <w:p w14:paraId="39DDE741" w14:textId="473DBFE0" w:rsidR="00D67B89" w:rsidRPr="00552CEE" w:rsidRDefault="00D67B89" w:rsidP="00D67B89">
      <w:r w:rsidRPr="00552CEE">
        <w:t>The results show that, in the base case, the Share Ownership Company could expect a net cash flow of £1.1 million per year during the CfD period, after operational costs and public sector loan repayments.</w:t>
      </w:r>
    </w:p>
    <w:p w14:paraId="656BF160" w14:textId="5E76863F" w:rsidR="00D67B89" w:rsidRPr="00552CEE" w:rsidRDefault="00D67B89" w:rsidP="00D67B89">
      <w:r w:rsidRPr="00552CEE">
        <w:t>The 2043 cash flow illustrates that, if the public sector loan extends beyond the end of the CfD period, there is a risk that revenues may be insufficient to service the public sector debt. For projects with a 15 year CfD, such as the one modelled here, this would imply either reducing the tenor of the public sector loan, which would increase annual debt service during the first 15 years,</w:t>
      </w:r>
      <w:r w:rsidR="000C4696" w:rsidRPr="00552CEE">
        <w:t xml:space="preserve"> increasing the tenor of the public sector loan to spread payments over a longer period, therefore reducing debt servicing costs in years 15 to 20,</w:t>
      </w:r>
      <w:r w:rsidRPr="00552CEE">
        <w:t xml:space="preserve"> or aligning the loan with a longer revenue support period. For example, an AR7 CfD offers a 20</w:t>
      </w:r>
      <w:r w:rsidR="000C4696" w:rsidRPr="00552CEE">
        <w:t xml:space="preserve"> </w:t>
      </w:r>
      <w:r w:rsidRPr="00552CEE">
        <w:t>year term and may therefore be better aligned with a 20 year public sector loan.</w:t>
      </w:r>
    </w:p>
    <w:p w14:paraId="69D51B74" w14:textId="7917DE04" w:rsidR="00BF27C2" w:rsidRPr="00552CEE" w:rsidRDefault="00D67B89" w:rsidP="00D67B89">
      <w:pPr>
        <w:sectPr w:rsidR="00BF27C2" w:rsidRPr="00552CEE" w:rsidSect="00023C60">
          <w:pgSz w:w="11906" w:h="16838"/>
          <w:pgMar w:top="1135" w:right="1440" w:bottom="851" w:left="1440" w:header="708" w:footer="708" w:gutter="0"/>
          <w:cols w:space="708"/>
          <w:docGrid w:linePitch="360"/>
        </w:sectPr>
      </w:pPr>
      <w:r w:rsidRPr="00552CEE">
        <w:t>Once the public sector loan has been repaid, cash flow to the SO Company returns to a positive level, with the Shared Ownership stake generating an annual cash flow of approximately £1.6 million from Year 20 onwards. However, this remains subject to uncertainty in merchant period revenues.</w:t>
      </w:r>
    </w:p>
    <w:p w14:paraId="73D913AF" w14:textId="77777777" w:rsidR="00BF27C2" w:rsidRPr="00552CEE" w:rsidRDefault="00BF27C2" w:rsidP="00815569"/>
    <w:p w14:paraId="27D93D7B" w14:textId="1D055ECA" w:rsidR="00A256F7" w:rsidRPr="00552CEE" w:rsidRDefault="000C4696" w:rsidP="00BF27C2">
      <w:pPr>
        <w:pStyle w:val="Heading2"/>
      </w:pPr>
      <w:r w:rsidRPr="00552CEE">
        <w:t>S</w:t>
      </w:r>
      <w:r w:rsidR="00A256F7" w:rsidRPr="00552CEE">
        <w:t xml:space="preserve">hared ownership </w:t>
      </w:r>
      <w:r w:rsidRPr="00552CEE">
        <w:t xml:space="preserve">cash flows </w:t>
      </w:r>
      <w:r w:rsidR="00A256F7" w:rsidRPr="00552CEE">
        <w:t xml:space="preserve">– </w:t>
      </w:r>
      <w:r w:rsidRPr="00552CEE">
        <w:t>p</w:t>
      </w:r>
      <w:r w:rsidR="00D140FE" w:rsidRPr="00552CEE">
        <w:t xml:space="preserve">roject </w:t>
      </w:r>
      <w:r w:rsidRPr="00552CEE">
        <w:t>f</w:t>
      </w:r>
      <w:r w:rsidR="00D140FE" w:rsidRPr="00552CEE">
        <w:t xml:space="preserve">inanced </w:t>
      </w:r>
    </w:p>
    <w:p w14:paraId="17C6F001" w14:textId="629C82B4" w:rsidR="00CE5414" w:rsidRPr="00552CEE" w:rsidRDefault="00CE5414" w:rsidP="00CE5414">
      <w:r w:rsidRPr="00552CEE">
        <w:t>The same three years are used to illustrate cash flows for the equity stake in the project financed model.</w:t>
      </w:r>
    </w:p>
    <w:p w14:paraId="07ABDB0B" w14:textId="3800906A" w:rsidR="00E964D9" w:rsidRPr="00552CEE" w:rsidRDefault="00CE5414" w:rsidP="00CE5414">
      <w:r w:rsidRPr="00552CEE">
        <w:t xml:space="preserve">The example cash flow years are the same as those used for the </w:t>
      </w:r>
      <w:r w:rsidR="004575E0">
        <w:t>balance sheet</w:t>
      </w:r>
      <w:r w:rsidRPr="00552CEE">
        <w:t xml:space="preserve"> ownership model. However, in 2030 the project must also service its commercial loan before distributing cash to equity holders.</w:t>
      </w:r>
      <w:r w:rsidR="00E964D9" w:rsidRPr="00552CEE">
        <w:t xml:space="preserve"> </w:t>
      </w:r>
    </w:p>
    <w:p w14:paraId="7002BB75" w14:textId="5A9878B0" w:rsidR="00607E57" w:rsidRPr="00552CEE" w:rsidRDefault="00607E57" w:rsidP="00607E57">
      <w:pPr>
        <w:pStyle w:val="Caption"/>
        <w:keepNext/>
      </w:pPr>
      <w:r w:rsidRPr="00552CEE">
        <w:t xml:space="preserve">Table </w:t>
      </w:r>
      <w:fldSimple w:instr=" SEQ Table \* ARABIC ">
        <w:r w:rsidR="00BA359F">
          <w:rPr>
            <w:noProof/>
          </w:rPr>
          <w:t>5</w:t>
        </w:r>
      </w:fldSimple>
      <w:r w:rsidRPr="00552CEE">
        <w:t>: Cash flow waterfall for 2% equity stake in project-financed joint venture project under base case. Results given for three years</w:t>
      </w:r>
      <w:r w:rsidR="00F06690" w:rsidRPr="00552CEE">
        <w:t xml:space="preserve"> </w:t>
      </w:r>
      <w:r w:rsidRPr="00552CEE">
        <w:t>(2030: CfD period + commercial debt+ public sector debt; 2043: merchant tail + no commercial debt + public sector debt; 2048: merchant tail + no debt)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6"/>
        <w:gridCol w:w="45"/>
        <w:gridCol w:w="1431"/>
        <w:gridCol w:w="35"/>
        <w:gridCol w:w="1441"/>
        <w:gridCol w:w="25"/>
        <w:gridCol w:w="1452"/>
        <w:gridCol w:w="15"/>
        <w:gridCol w:w="1346"/>
      </w:tblGrid>
      <w:tr w:rsidR="008C276B" w:rsidRPr="00552CEE" w14:paraId="45B941EB" w14:textId="6E9568EC" w:rsidTr="008C276B">
        <w:tc>
          <w:tcPr>
            <w:tcW w:w="3236" w:type="dxa"/>
            <w:shd w:val="clear" w:color="auto" w:fill="D0CECE" w:themeFill="background2" w:themeFillShade="E6"/>
          </w:tcPr>
          <w:p w14:paraId="3EF06CA8" w14:textId="77777777" w:rsidR="008C276B" w:rsidRPr="00552CEE" w:rsidRDefault="008C276B" w:rsidP="00995EE5">
            <w:pPr>
              <w:rPr>
                <w:i/>
                <w:iCs/>
              </w:rPr>
            </w:pPr>
            <w:r w:rsidRPr="00552CEE">
              <w:rPr>
                <w:i/>
                <w:iCs/>
                <w:sz w:val="20"/>
                <w:szCs w:val="20"/>
              </w:rPr>
              <w:t>Values in £million (2025, real, undiscounted)</w:t>
            </w:r>
          </w:p>
        </w:tc>
        <w:tc>
          <w:tcPr>
            <w:tcW w:w="1476" w:type="dxa"/>
            <w:gridSpan w:val="2"/>
            <w:shd w:val="clear" w:color="auto" w:fill="D0CECE" w:themeFill="background2" w:themeFillShade="E6"/>
          </w:tcPr>
          <w:p w14:paraId="28853709" w14:textId="77777777" w:rsidR="008C276B" w:rsidRPr="00552CEE" w:rsidRDefault="008C276B" w:rsidP="00995EE5">
            <w:pPr>
              <w:jc w:val="center"/>
            </w:pPr>
            <w:r w:rsidRPr="00552CEE">
              <w:t>2030</w:t>
            </w:r>
          </w:p>
        </w:tc>
        <w:tc>
          <w:tcPr>
            <w:tcW w:w="1476" w:type="dxa"/>
            <w:gridSpan w:val="2"/>
            <w:shd w:val="clear" w:color="auto" w:fill="D0CECE" w:themeFill="background2" w:themeFillShade="E6"/>
          </w:tcPr>
          <w:p w14:paraId="199D0B1F" w14:textId="77777777" w:rsidR="008C276B" w:rsidRPr="00552CEE" w:rsidRDefault="008C276B" w:rsidP="00995EE5">
            <w:pPr>
              <w:jc w:val="center"/>
            </w:pPr>
            <w:r w:rsidRPr="00552CEE">
              <w:t>2043</w:t>
            </w:r>
          </w:p>
        </w:tc>
        <w:tc>
          <w:tcPr>
            <w:tcW w:w="1477" w:type="dxa"/>
            <w:gridSpan w:val="2"/>
            <w:shd w:val="clear" w:color="auto" w:fill="D0CECE" w:themeFill="background2" w:themeFillShade="E6"/>
          </w:tcPr>
          <w:p w14:paraId="38C0563D" w14:textId="77777777" w:rsidR="008C276B" w:rsidRPr="00552CEE" w:rsidRDefault="008C276B" w:rsidP="00995EE5">
            <w:pPr>
              <w:jc w:val="center"/>
            </w:pPr>
            <w:r w:rsidRPr="00552CEE">
              <w:t>2048</w:t>
            </w:r>
          </w:p>
        </w:tc>
        <w:tc>
          <w:tcPr>
            <w:tcW w:w="1361" w:type="dxa"/>
            <w:gridSpan w:val="2"/>
            <w:shd w:val="clear" w:color="auto" w:fill="D0CECE" w:themeFill="background2" w:themeFillShade="E6"/>
          </w:tcPr>
          <w:p w14:paraId="74E7288F" w14:textId="039ED761" w:rsidR="008C276B" w:rsidRPr="00552CEE" w:rsidRDefault="00625C0B" w:rsidP="00995EE5">
            <w:pPr>
              <w:jc w:val="center"/>
            </w:pPr>
            <w:r>
              <w:t>2028-58</w:t>
            </w:r>
          </w:p>
        </w:tc>
      </w:tr>
      <w:tr w:rsidR="008C276B" w:rsidRPr="00552CEE" w14:paraId="23113073" w14:textId="630BE0DF" w:rsidTr="008C276B">
        <w:tc>
          <w:tcPr>
            <w:tcW w:w="3236" w:type="dxa"/>
          </w:tcPr>
          <w:p w14:paraId="6F22B374" w14:textId="1523F08B" w:rsidR="008C276B" w:rsidRPr="00552CEE" w:rsidRDefault="008C276B" w:rsidP="00D56A68">
            <w:r w:rsidRPr="00552CEE">
              <w:t xml:space="preserve">Upfront stake: £25million </w:t>
            </w:r>
          </w:p>
          <w:p w14:paraId="214B563D" w14:textId="49CD4391" w:rsidR="008C276B" w:rsidRPr="00552CEE" w:rsidRDefault="008C276B" w:rsidP="00D56A68">
            <w:r w:rsidRPr="00552CEE">
              <w:t>(2% of equity in Joint Venture SPV)</w:t>
            </w:r>
          </w:p>
        </w:tc>
        <w:tc>
          <w:tcPr>
            <w:tcW w:w="1476" w:type="dxa"/>
            <w:gridSpan w:val="2"/>
          </w:tcPr>
          <w:p w14:paraId="6238279E" w14:textId="77777777" w:rsidR="008C276B" w:rsidRPr="00552CEE" w:rsidRDefault="008C276B" w:rsidP="00D56A68">
            <w:pPr>
              <w:jc w:val="center"/>
            </w:pPr>
          </w:p>
        </w:tc>
        <w:tc>
          <w:tcPr>
            <w:tcW w:w="1476" w:type="dxa"/>
            <w:gridSpan w:val="2"/>
          </w:tcPr>
          <w:p w14:paraId="1F54C0DA" w14:textId="38E0DE26" w:rsidR="008C276B" w:rsidRPr="00552CEE" w:rsidRDefault="008C276B" w:rsidP="00D56A68">
            <w:pPr>
              <w:jc w:val="center"/>
            </w:pPr>
          </w:p>
        </w:tc>
        <w:tc>
          <w:tcPr>
            <w:tcW w:w="1477" w:type="dxa"/>
            <w:gridSpan w:val="2"/>
          </w:tcPr>
          <w:p w14:paraId="1177269E" w14:textId="77777777" w:rsidR="008C276B" w:rsidRPr="00552CEE" w:rsidRDefault="008C276B" w:rsidP="00D56A68">
            <w:pPr>
              <w:jc w:val="center"/>
            </w:pPr>
          </w:p>
        </w:tc>
        <w:tc>
          <w:tcPr>
            <w:tcW w:w="1361" w:type="dxa"/>
            <w:gridSpan w:val="2"/>
          </w:tcPr>
          <w:p w14:paraId="59BEACA4" w14:textId="77777777" w:rsidR="008C276B" w:rsidRPr="00552CEE" w:rsidRDefault="008C276B" w:rsidP="00D56A68">
            <w:pPr>
              <w:jc w:val="center"/>
            </w:pPr>
          </w:p>
        </w:tc>
      </w:tr>
      <w:tr w:rsidR="008C276B" w:rsidRPr="00552CEE" w14:paraId="1F57374A" w14:textId="02F2036C" w:rsidTr="008C276B">
        <w:tc>
          <w:tcPr>
            <w:tcW w:w="3236" w:type="dxa"/>
            <w:vAlign w:val="bottom"/>
          </w:tcPr>
          <w:p w14:paraId="657C7654" w14:textId="77777777" w:rsidR="008C276B" w:rsidRPr="00552CEE" w:rsidRDefault="008C276B" w:rsidP="00F961C8">
            <w:r w:rsidRPr="00552CEE">
              <w:t>Revenue</w:t>
            </w:r>
          </w:p>
        </w:tc>
        <w:tc>
          <w:tcPr>
            <w:tcW w:w="1476" w:type="dxa"/>
            <w:gridSpan w:val="2"/>
          </w:tcPr>
          <w:p w14:paraId="72D46A73" w14:textId="7DBFD23B" w:rsidR="008C276B" w:rsidRPr="00552CEE" w:rsidRDefault="008C276B" w:rsidP="00F961C8">
            <w:pPr>
              <w:jc w:val="center"/>
            </w:pPr>
            <w:r w:rsidRPr="00552CEE">
              <w:t>7.5</w:t>
            </w:r>
          </w:p>
        </w:tc>
        <w:tc>
          <w:tcPr>
            <w:tcW w:w="1476" w:type="dxa"/>
            <w:gridSpan w:val="2"/>
          </w:tcPr>
          <w:p w14:paraId="5A04BA3B" w14:textId="3584F47B" w:rsidR="008C276B" w:rsidRPr="00552CEE" w:rsidRDefault="008C276B" w:rsidP="00F961C8">
            <w:pPr>
              <w:jc w:val="center"/>
            </w:pPr>
            <w:r w:rsidRPr="00552CEE">
              <w:t>4.8</w:t>
            </w:r>
          </w:p>
        </w:tc>
        <w:tc>
          <w:tcPr>
            <w:tcW w:w="1477" w:type="dxa"/>
            <w:gridSpan w:val="2"/>
          </w:tcPr>
          <w:p w14:paraId="02695E67" w14:textId="51B8D93E" w:rsidR="008C276B" w:rsidRPr="00552CEE" w:rsidRDefault="008C276B" w:rsidP="00F961C8">
            <w:pPr>
              <w:jc w:val="center"/>
            </w:pPr>
            <w:r w:rsidRPr="00552CEE">
              <w:t>4.8</w:t>
            </w:r>
          </w:p>
        </w:tc>
        <w:tc>
          <w:tcPr>
            <w:tcW w:w="1361" w:type="dxa"/>
            <w:gridSpan w:val="2"/>
          </w:tcPr>
          <w:p w14:paraId="1979F2AB" w14:textId="77777777" w:rsidR="008C276B" w:rsidRPr="00552CEE" w:rsidRDefault="008C276B" w:rsidP="00F961C8">
            <w:pPr>
              <w:jc w:val="center"/>
            </w:pPr>
          </w:p>
        </w:tc>
      </w:tr>
      <w:tr w:rsidR="008C276B" w:rsidRPr="00552CEE" w14:paraId="1843CA23" w14:textId="765F58F2" w:rsidTr="008C276B">
        <w:tc>
          <w:tcPr>
            <w:tcW w:w="3236" w:type="dxa"/>
            <w:vAlign w:val="bottom"/>
          </w:tcPr>
          <w:p w14:paraId="6FF0C941" w14:textId="77777777" w:rsidR="008C276B" w:rsidRPr="00552CEE" w:rsidRDefault="008C276B" w:rsidP="00F961C8">
            <w:r w:rsidRPr="00552CEE">
              <w:t>Operating Costs</w:t>
            </w:r>
          </w:p>
        </w:tc>
        <w:tc>
          <w:tcPr>
            <w:tcW w:w="1476" w:type="dxa"/>
            <w:gridSpan w:val="2"/>
          </w:tcPr>
          <w:p w14:paraId="0365BC60" w14:textId="44D81654" w:rsidR="008C276B" w:rsidRPr="00552CEE" w:rsidRDefault="008C276B" w:rsidP="00F961C8">
            <w:pPr>
              <w:jc w:val="center"/>
            </w:pPr>
            <w:r w:rsidRPr="00552CEE">
              <w:t>1.6</w:t>
            </w:r>
          </w:p>
        </w:tc>
        <w:tc>
          <w:tcPr>
            <w:tcW w:w="1476" w:type="dxa"/>
            <w:gridSpan w:val="2"/>
          </w:tcPr>
          <w:p w14:paraId="70F868CB" w14:textId="3930129F" w:rsidR="008C276B" w:rsidRPr="00552CEE" w:rsidRDefault="008C276B" w:rsidP="00F961C8">
            <w:pPr>
              <w:jc w:val="center"/>
            </w:pPr>
            <w:r w:rsidRPr="00552CEE">
              <w:t>1.6</w:t>
            </w:r>
          </w:p>
        </w:tc>
        <w:tc>
          <w:tcPr>
            <w:tcW w:w="1477" w:type="dxa"/>
            <w:gridSpan w:val="2"/>
          </w:tcPr>
          <w:p w14:paraId="04D91D40" w14:textId="38895F02" w:rsidR="008C276B" w:rsidRPr="00552CEE" w:rsidRDefault="008C276B" w:rsidP="00F961C8">
            <w:pPr>
              <w:jc w:val="center"/>
            </w:pPr>
            <w:r w:rsidRPr="00552CEE">
              <w:t>1.6</w:t>
            </w:r>
          </w:p>
        </w:tc>
        <w:tc>
          <w:tcPr>
            <w:tcW w:w="1361" w:type="dxa"/>
            <w:gridSpan w:val="2"/>
          </w:tcPr>
          <w:p w14:paraId="42E4300E" w14:textId="77777777" w:rsidR="008C276B" w:rsidRPr="00552CEE" w:rsidRDefault="008C276B" w:rsidP="00F961C8">
            <w:pPr>
              <w:jc w:val="center"/>
            </w:pPr>
          </w:p>
        </w:tc>
      </w:tr>
      <w:tr w:rsidR="008C276B" w:rsidRPr="00552CEE" w14:paraId="013765F1" w14:textId="4714518B" w:rsidTr="008C276B">
        <w:tc>
          <w:tcPr>
            <w:tcW w:w="3236" w:type="dxa"/>
            <w:vAlign w:val="bottom"/>
          </w:tcPr>
          <w:p w14:paraId="7BAE68CB" w14:textId="77777777" w:rsidR="008C276B" w:rsidRPr="00552CEE" w:rsidRDefault="008C276B" w:rsidP="00F961C8">
            <w:r w:rsidRPr="00552CEE">
              <w:t>Commercial debt servicing</w:t>
            </w:r>
          </w:p>
        </w:tc>
        <w:tc>
          <w:tcPr>
            <w:tcW w:w="1476" w:type="dxa"/>
            <w:gridSpan w:val="2"/>
          </w:tcPr>
          <w:p w14:paraId="6CF729E8" w14:textId="13E201F6" w:rsidR="008C276B" w:rsidRPr="00552CEE" w:rsidRDefault="008C276B" w:rsidP="00F961C8">
            <w:pPr>
              <w:jc w:val="center"/>
            </w:pPr>
            <w:r w:rsidRPr="00552CEE">
              <w:t>4.1</w:t>
            </w:r>
          </w:p>
        </w:tc>
        <w:tc>
          <w:tcPr>
            <w:tcW w:w="1476" w:type="dxa"/>
            <w:gridSpan w:val="2"/>
          </w:tcPr>
          <w:p w14:paraId="610F945A" w14:textId="0EEC1B91" w:rsidR="008C276B" w:rsidRPr="00552CEE" w:rsidRDefault="008C276B" w:rsidP="00F961C8">
            <w:pPr>
              <w:jc w:val="center"/>
            </w:pPr>
            <w:r w:rsidRPr="00552CEE">
              <w:t>0.0</w:t>
            </w:r>
          </w:p>
        </w:tc>
        <w:tc>
          <w:tcPr>
            <w:tcW w:w="1477" w:type="dxa"/>
            <w:gridSpan w:val="2"/>
          </w:tcPr>
          <w:p w14:paraId="2DBB3044" w14:textId="3D8C861C" w:rsidR="008C276B" w:rsidRPr="00552CEE" w:rsidRDefault="008C276B" w:rsidP="00F961C8">
            <w:pPr>
              <w:jc w:val="center"/>
            </w:pPr>
            <w:r w:rsidRPr="00552CEE">
              <w:t>0.0</w:t>
            </w:r>
          </w:p>
        </w:tc>
        <w:tc>
          <w:tcPr>
            <w:tcW w:w="1361" w:type="dxa"/>
            <w:gridSpan w:val="2"/>
          </w:tcPr>
          <w:p w14:paraId="71890DC5" w14:textId="77777777" w:rsidR="008C276B" w:rsidRPr="00552CEE" w:rsidRDefault="008C276B" w:rsidP="00F961C8">
            <w:pPr>
              <w:jc w:val="center"/>
            </w:pPr>
          </w:p>
        </w:tc>
      </w:tr>
      <w:tr w:rsidR="008C276B" w:rsidRPr="00552CEE" w14:paraId="7371A56D" w14:textId="31E23B53" w:rsidTr="008C276B">
        <w:tc>
          <w:tcPr>
            <w:tcW w:w="3236" w:type="dxa"/>
            <w:vAlign w:val="bottom"/>
          </w:tcPr>
          <w:p w14:paraId="454E7BBC" w14:textId="279AB2A0" w:rsidR="008C276B" w:rsidRPr="00552CEE" w:rsidRDefault="008C276B" w:rsidP="00F961C8">
            <w:r w:rsidRPr="00552CEE">
              <w:t>Cash flow from project to SO</w:t>
            </w:r>
          </w:p>
        </w:tc>
        <w:tc>
          <w:tcPr>
            <w:tcW w:w="1476" w:type="dxa"/>
            <w:gridSpan w:val="2"/>
          </w:tcPr>
          <w:p w14:paraId="6EEDA314" w14:textId="04413727" w:rsidR="008C276B" w:rsidRPr="00552CEE" w:rsidRDefault="008C276B" w:rsidP="00F961C8">
            <w:pPr>
              <w:jc w:val="center"/>
            </w:pPr>
            <w:r w:rsidRPr="00552CEE">
              <w:t>1.8</w:t>
            </w:r>
          </w:p>
        </w:tc>
        <w:tc>
          <w:tcPr>
            <w:tcW w:w="1476" w:type="dxa"/>
            <w:gridSpan w:val="2"/>
          </w:tcPr>
          <w:p w14:paraId="2D961C05" w14:textId="391C450D" w:rsidR="008C276B" w:rsidRPr="00552CEE" w:rsidRDefault="008C276B" w:rsidP="00F961C8">
            <w:pPr>
              <w:jc w:val="center"/>
            </w:pPr>
            <w:r w:rsidRPr="00552CEE">
              <w:t>3.2</w:t>
            </w:r>
          </w:p>
        </w:tc>
        <w:tc>
          <w:tcPr>
            <w:tcW w:w="1477" w:type="dxa"/>
            <w:gridSpan w:val="2"/>
          </w:tcPr>
          <w:p w14:paraId="72BDB911" w14:textId="52669510" w:rsidR="008C276B" w:rsidRPr="00552CEE" w:rsidRDefault="008C276B" w:rsidP="00F961C8">
            <w:pPr>
              <w:jc w:val="center"/>
            </w:pPr>
            <w:r w:rsidRPr="00552CEE">
              <w:t>3.2</w:t>
            </w:r>
          </w:p>
        </w:tc>
        <w:tc>
          <w:tcPr>
            <w:tcW w:w="1361" w:type="dxa"/>
            <w:gridSpan w:val="2"/>
          </w:tcPr>
          <w:p w14:paraId="4F0AA343" w14:textId="77777777" w:rsidR="008C276B" w:rsidRPr="00552CEE" w:rsidRDefault="008C276B" w:rsidP="00F961C8">
            <w:pPr>
              <w:jc w:val="center"/>
            </w:pPr>
          </w:p>
        </w:tc>
      </w:tr>
      <w:tr w:rsidR="008C276B" w:rsidRPr="00552CEE" w14:paraId="6C317A75" w14:textId="66261F73" w:rsidTr="008C276B">
        <w:tc>
          <w:tcPr>
            <w:tcW w:w="3236" w:type="dxa"/>
            <w:vAlign w:val="bottom"/>
          </w:tcPr>
          <w:p w14:paraId="69E4484C" w14:textId="4B3ED803" w:rsidR="008C276B" w:rsidRPr="00552CEE" w:rsidRDefault="008C276B" w:rsidP="00F961C8">
            <w:r w:rsidRPr="00552CEE">
              <w:t>Public Sector loan servicing</w:t>
            </w:r>
          </w:p>
        </w:tc>
        <w:tc>
          <w:tcPr>
            <w:tcW w:w="1476" w:type="dxa"/>
            <w:gridSpan w:val="2"/>
          </w:tcPr>
          <w:p w14:paraId="75B675A1" w14:textId="4CCC55E2" w:rsidR="008C276B" w:rsidRPr="00552CEE" w:rsidRDefault="008C276B" w:rsidP="00F961C8">
            <w:pPr>
              <w:jc w:val="center"/>
            </w:pPr>
            <w:r w:rsidRPr="00552CEE">
              <w:t>1.5</w:t>
            </w:r>
          </w:p>
        </w:tc>
        <w:tc>
          <w:tcPr>
            <w:tcW w:w="1476" w:type="dxa"/>
            <w:gridSpan w:val="2"/>
          </w:tcPr>
          <w:p w14:paraId="73CBA283" w14:textId="7C358AB6" w:rsidR="008C276B" w:rsidRPr="00552CEE" w:rsidRDefault="008C276B" w:rsidP="00F961C8">
            <w:pPr>
              <w:jc w:val="center"/>
            </w:pPr>
            <w:r w:rsidRPr="00552CEE">
              <w:t>1.5</w:t>
            </w:r>
          </w:p>
        </w:tc>
        <w:tc>
          <w:tcPr>
            <w:tcW w:w="1477" w:type="dxa"/>
            <w:gridSpan w:val="2"/>
          </w:tcPr>
          <w:p w14:paraId="662673B3" w14:textId="75660AFB" w:rsidR="008C276B" w:rsidRPr="00552CEE" w:rsidRDefault="008C276B" w:rsidP="00F961C8">
            <w:pPr>
              <w:jc w:val="center"/>
            </w:pPr>
            <w:r w:rsidRPr="00552CEE">
              <w:t>0.0</w:t>
            </w:r>
          </w:p>
        </w:tc>
        <w:tc>
          <w:tcPr>
            <w:tcW w:w="1361" w:type="dxa"/>
            <w:gridSpan w:val="2"/>
          </w:tcPr>
          <w:p w14:paraId="5F915E02" w14:textId="77777777" w:rsidR="008C276B" w:rsidRPr="00552CEE" w:rsidRDefault="008C276B" w:rsidP="00F961C8">
            <w:pPr>
              <w:jc w:val="center"/>
            </w:pPr>
          </w:p>
        </w:tc>
      </w:tr>
      <w:tr w:rsidR="008C276B" w:rsidRPr="00552CEE" w14:paraId="60E4A171" w14:textId="66D06DC2" w:rsidTr="008C276B">
        <w:trPr>
          <w:trHeight w:val="44"/>
        </w:trPr>
        <w:tc>
          <w:tcPr>
            <w:tcW w:w="3236" w:type="dxa"/>
            <w:vAlign w:val="bottom"/>
          </w:tcPr>
          <w:p w14:paraId="4133D1F1" w14:textId="00591D32" w:rsidR="008C276B" w:rsidRPr="00552CEE" w:rsidRDefault="008C276B" w:rsidP="00F961C8">
            <w:r w:rsidRPr="00552CEE">
              <w:t>Final SO income</w:t>
            </w:r>
          </w:p>
        </w:tc>
        <w:tc>
          <w:tcPr>
            <w:tcW w:w="1476" w:type="dxa"/>
            <w:gridSpan w:val="2"/>
          </w:tcPr>
          <w:p w14:paraId="7C09D2B4" w14:textId="75474D93" w:rsidR="008C276B" w:rsidRPr="00552CEE" w:rsidRDefault="008C276B" w:rsidP="00F961C8">
            <w:pPr>
              <w:jc w:val="center"/>
            </w:pPr>
            <w:r w:rsidRPr="00552CEE">
              <w:t>0.3</w:t>
            </w:r>
          </w:p>
        </w:tc>
        <w:tc>
          <w:tcPr>
            <w:tcW w:w="1476" w:type="dxa"/>
            <w:gridSpan w:val="2"/>
          </w:tcPr>
          <w:p w14:paraId="1FE54086" w14:textId="51695DEC" w:rsidR="008C276B" w:rsidRPr="00552CEE" w:rsidRDefault="008C276B" w:rsidP="00F961C8">
            <w:pPr>
              <w:jc w:val="center"/>
            </w:pPr>
            <w:r w:rsidRPr="00552CEE">
              <w:t>1.7</w:t>
            </w:r>
          </w:p>
        </w:tc>
        <w:tc>
          <w:tcPr>
            <w:tcW w:w="1477" w:type="dxa"/>
            <w:gridSpan w:val="2"/>
          </w:tcPr>
          <w:p w14:paraId="38E91558" w14:textId="3A878C58" w:rsidR="008C276B" w:rsidRPr="00552CEE" w:rsidRDefault="008C276B" w:rsidP="00F961C8">
            <w:pPr>
              <w:jc w:val="center"/>
            </w:pPr>
            <w:r w:rsidRPr="00552CEE">
              <w:t>3.2</w:t>
            </w:r>
          </w:p>
        </w:tc>
        <w:tc>
          <w:tcPr>
            <w:tcW w:w="1361" w:type="dxa"/>
            <w:gridSpan w:val="2"/>
          </w:tcPr>
          <w:p w14:paraId="650F8F0E" w14:textId="77777777" w:rsidR="008C276B" w:rsidRPr="00552CEE" w:rsidRDefault="008C276B" w:rsidP="00F961C8">
            <w:pPr>
              <w:jc w:val="center"/>
            </w:pPr>
          </w:p>
        </w:tc>
      </w:tr>
      <w:tr w:rsidR="008C276B" w:rsidRPr="00552CEE" w14:paraId="5AF074FA" w14:textId="77777777" w:rsidTr="004E2AB3">
        <w:tc>
          <w:tcPr>
            <w:tcW w:w="3281" w:type="dxa"/>
            <w:gridSpan w:val="2"/>
            <w:vAlign w:val="bottom"/>
          </w:tcPr>
          <w:p w14:paraId="178CEB63" w14:textId="77777777" w:rsidR="00625C0B" w:rsidRDefault="00625C0B" w:rsidP="00625C0B">
            <w:r>
              <w:t>Cumulative lifetime income</w:t>
            </w:r>
          </w:p>
          <w:p w14:paraId="7A06EF3C" w14:textId="142EE885" w:rsidR="008C276B" w:rsidRPr="00552CEE" w:rsidRDefault="00625C0B" w:rsidP="00625C0B">
            <w:r>
              <w:t>(30 years, undiscounted)</w:t>
            </w:r>
          </w:p>
        </w:tc>
        <w:tc>
          <w:tcPr>
            <w:tcW w:w="1466" w:type="dxa"/>
            <w:gridSpan w:val="2"/>
          </w:tcPr>
          <w:p w14:paraId="7714C9F4" w14:textId="77777777" w:rsidR="008C276B" w:rsidRPr="00552CEE" w:rsidRDefault="008C276B" w:rsidP="004E2AB3">
            <w:pPr>
              <w:jc w:val="center"/>
            </w:pPr>
          </w:p>
        </w:tc>
        <w:tc>
          <w:tcPr>
            <w:tcW w:w="1466" w:type="dxa"/>
            <w:gridSpan w:val="2"/>
          </w:tcPr>
          <w:p w14:paraId="73948AE7" w14:textId="77777777" w:rsidR="008C276B" w:rsidRPr="00552CEE" w:rsidRDefault="008C276B" w:rsidP="004E2AB3">
            <w:pPr>
              <w:jc w:val="center"/>
              <w:rPr>
                <w:color w:val="C00000" w:themeColor="accent4"/>
              </w:rPr>
            </w:pPr>
          </w:p>
        </w:tc>
        <w:tc>
          <w:tcPr>
            <w:tcW w:w="1467" w:type="dxa"/>
            <w:gridSpan w:val="2"/>
          </w:tcPr>
          <w:p w14:paraId="24A1A419" w14:textId="77777777" w:rsidR="008C276B" w:rsidRPr="00552CEE" w:rsidRDefault="008C276B" w:rsidP="004E2AB3">
            <w:pPr>
              <w:jc w:val="center"/>
            </w:pPr>
          </w:p>
        </w:tc>
        <w:tc>
          <w:tcPr>
            <w:tcW w:w="1346" w:type="dxa"/>
          </w:tcPr>
          <w:p w14:paraId="68212760" w14:textId="02057493" w:rsidR="008C276B" w:rsidRPr="00552CEE" w:rsidRDefault="008C276B" w:rsidP="004E2AB3">
            <w:pPr>
              <w:jc w:val="center"/>
            </w:pPr>
            <w:r>
              <w:t>45</w:t>
            </w:r>
            <w:r w:rsidR="00625C0B">
              <w:t>.0</w:t>
            </w:r>
          </w:p>
        </w:tc>
      </w:tr>
    </w:tbl>
    <w:p w14:paraId="44EB0255" w14:textId="235F0A06" w:rsidR="000604A4" w:rsidRPr="00552CEE" w:rsidRDefault="000604A4" w:rsidP="006916B0"/>
    <w:p w14:paraId="463E9772" w14:textId="1EFD87FE" w:rsidR="00E80D50" w:rsidRPr="00552CEE" w:rsidRDefault="00E80D50" w:rsidP="00E80D50">
      <w:r w:rsidRPr="00552CEE">
        <w:t xml:space="preserve">In this example, the equity stake is 2%, which requires a </w:t>
      </w:r>
      <w:r w:rsidR="00D22F7E" w:rsidRPr="00552CEE">
        <w:t xml:space="preserve">slightly lower </w:t>
      </w:r>
      <w:r w:rsidRPr="00552CEE">
        <w:t>level of investment to tha</w:t>
      </w:r>
      <w:r w:rsidR="00D22F7E" w:rsidRPr="00552CEE">
        <w:t>n</w:t>
      </w:r>
      <w:r w:rsidRPr="00552CEE">
        <w:t xml:space="preserve"> required for a 1% stake in the balance sheet project.</w:t>
      </w:r>
      <w:r w:rsidR="00D22F7E" w:rsidRPr="00552CEE">
        <w:t xml:space="preserve"> This reflects the significant debt obligation that the Share Ownership company is taking on with the ownership stake. </w:t>
      </w:r>
    </w:p>
    <w:p w14:paraId="69722F6A" w14:textId="6D02901A" w:rsidR="00E80D50" w:rsidRPr="00552CEE" w:rsidRDefault="00E80D50" w:rsidP="00E80D50">
      <w:r w:rsidRPr="00552CEE">
        <w:t>In this case, the revenues and operating costs attributable to the Shared Ownership stake are double those in the previous example, reflecting 2% ownership rather than 1%. However, commercial debt must now be serviced before cash is distributed to equity shareholders, including the Shared Ownership Company.</w:t>
      </w:r>
    </w:p>
    <w:p w14:paraId="66A5F7A0" w14:textId="21F24636" w:rsidR="00E80D50" w:rsidRPr="00552CEE" w:rsidRDefault="00E80D50" w:rsidP="00E80D50">
      <w:r w:rsidRPr="00552CEE">
        <w:t>During early operation, under base case assumptions, the SO Company receives £0.</w:t>
      </w:r>
      <w:r w:rsidR="00F240D7" w:rsidRPr="00552CEE">
        <w:t>3</w:t>
      </w:r>
      <w:r w:rsidRPr="00552CEE">
        <w:t xml:space="preserve"> million per year after all operating costs and debt service. This rises to £1.</w:t>
      </w:r>
      <w:r w:rsidR="00F240D7" w:rsidRPr="00552CEE">
        <w:t>7</w:t>
      </w:r>
      <w:r w:rsidRPr="00552CEE">
        <w:t xml:space="preserve"> million in 2043 following (a) the end of the CfD period and the associated reduction in assumed revenues, and (b) the repayment of the commercial debt within the joint venture SPV.</w:t>
      </w:r>
    </w:p>
    <w:p w14:paraId="57AE09FB" w14:textId="51030F78" w:rsidR="00E80D50" w:rsidRPr="00552CEE" w:rsidRDefault="00E80D50" w:rsidP="00E80D50">
      <w:pPr>
        <w:rPr>
          <w:b/>
          <w:bCs/>
        </w:rPr>
      </w:pPr>
      <w:r w:rsidRPr="00552CEE">
        <w:t xml:space="preserve">Finally, in 2048, this increases to £3.2 million per year following the end of the public sector </w:t>
      </w:r>
      <w:r w:rsidRPr="00552CEE">
        <w:rPr>
          <w:b/>
          <w:bCs/>
        </w:rPr>
        <w:t>loan.</w:t>
      </w:r>
    </w:p>
    <w:p w14:paraId="732BE942" w14:textId="044D2EBE" w:rsidR="003431E7" w:rsidRPr="00552CEE" w:rsidRDefault="00E80D50" w:rsidP="000604A4">
      <w:r w:rsidRPr="00552CEE">
        <w:rPr>
          <w:b/>
          <w:bCs/>
        </w:rPr>
        <w:t xml:space="preserve">While the base case analysis for 2% ownership in the project finance model appears more attractive than 1% ownership in the </w:t>
      </w:r>
      <w:r w:rsidR="007269B5">
        <w:rPr>
          <w:b/>
          <w:bCs/>
        </w:rPr>
        <w:t>balance sheet</w:t>
      </w:r>
      <w:r w:rsidRPr="00552CEE">
        <w:rPr>
          <w:b/>
          <w:bCs/>
        </w:rPr>
        <w:t xml:space="preserve"> ownership model, it exposes the SO Company to significantly higher risk.</w:t>
      </w:r>
      <w:r w:rsidRPr="00552CEE">
        <w:t xml:space="preserve"> This is because commercial debt service has priority in the cash flow waterfall. As a result, increased costs or reduced revenues are more likely to reduce cash flow to the SO Company, affecting its </w:t>
      </w:r>
      <w:r w:rsidRPr="00552CEE">
        <w:lastRenderedPageBreak/>
        <w:t>ability to service the public sector loan and, ultimately, to generate usable income. These risk considerations become clearer in the sensitivities set out below.</w:t>
      </w:r>
      <w:r w:rsidR="006369D0" w:rsidRPr="00552CEE">
        <w:t xml:space="preserve"> </w:t>
      </w:r>
    </w:p>
    <w:p w14:paraId="2694B353" w14:textId="50AC27FC" w:rsidR="003431E7" w:rsidRPr="00552CEE" w:rsidRDefault="00A44126" w:rsidP="003431E7">
      <w:pPr>
        <w:pStyle w:val="Heading2"/>
      </w:pPr>
      <w:r w:rsidRPr="00552CEE">
        <w:t>Sensitivities</w:t>
      </w:r>
    </w:p>
    <w:p w14:paraId="5034BF14" w14:textId="47B8F21B" w:rsidR="003431E7" w:rsidRPr="00552CEE" w:rsidRDefault="003431E7" w:rsidP="003431E7">
      <w:pPr>
        <w:pStyle w:val="Heading3"/>
      </w:pPr>
      <w:r w:rsidRPr="00552CEE">
        <w:t>Low revenue</w:t>
      </w:r>
    </w:p>
    <w:p w14:paraId="153CB3F7" w14:textId="7C38716D" w:rsidR="000A4E98" w:rsidRPr="00552CEE" w:rsidRDefault="000A4E98" w:rsidP="000A4E98">
      <w:r w:rsidRPr="00552CEE">
        <w:t>This sensitivity is based on a reduced load factor, reflecting a combination of more pessimistic P90 wind conditions, that is wind conditions over the lifetime of the project that have a 90% probability of being exceeded, and an increase in maintenance related outages. The uncurtailed load factor is reduced from 55% to 50%, while technical availability falls from 95% to 92.5% during the first 15 years of operation and to 90% during the second 15 years.</w:t>
      </w:r>
    </w:p>
    <w:p w14:paraId="69C70A46" w14:textId="45D369A1" w:rsidR="000A4E98" w:rsidRPr="00552CEE" w:rsidRDefault="000A4E98" w:rsidP="000A4E98">
      <w:r w:rsidRPr="00552CEE">
        <w:t xml:space="preserve">The original project valuation remains unchanged in this case. It is the same project in the same location, with the same forecast output at the point of </w:t>
      </w:r>
      <w:r w:rsidR="00894317" w:rsidRPr="00552CEE">
        <w:t>buy in</w:t>
      </w:r>
      <w:r w:rsidRPr="00552CEE">
        <w:t>. However, this sensitivity illustrates a credible downside scenario in which realised output is lower than the central forecast.</w:t>
      </w:r>
    </w:p>
    <w:p w14:paraId="58D9B67D" w14:textId="7FC51910" w:rsidR="003431E7" w:rsidRPr="00552CEE" w:rsidRDefault="000A4E98" w:rsidP="000A4E98">
      <w:r w:rsidRPr="00552CEE">
        <w:t xml:space="preserve">Table 6 and Table 7 present the results for the </w:t>
      </w:r>
      <w:r w:rsidR="007269B5">
        <w:t>balance sheet</w:t>
      </w:r>
      <w:r w:rsidRPr="00552CEE">
        <w:t xml:space="preserve"> ownership and project finance ownership models respectively. They also include the final SO income from the base case for comparison.</w:t>
      </w:r>
    </w:p>
    <w:p w14:paraId="565A0629" w14:textId="2A44FD77" w:rsidR="00AB6A5D" w:rsidRPr="00552CEE" w:rsidRDefault="00AB6A5D" w:rsidP="00AB6A5D">
      <w:pPr>
        <w:pStyle w:val="Caption"/>
        <w:keepNext/>
        <w:jc w:val="center"/>
      </w:pPr>
      <w:bookmarkStart w:id="2" w:name="_Ref222977305"/>
      <w:bookmarkStart w:id="3" w:name="_Ref222977301"/>
      <w:r w:rsidRPr="00552CEE">
        <w:t xml:space="preserve">Table </w:t>
      </w:r>
      <w:fldSimple w:instr=" SEQ Table \* ARABIC ">
        <w:r w:rsidR="00BA359F">
          <w:rPr>
            <w:noProof/>
          </w:rPr>
          <w:t>6</w:t>
        </w:r>
      </w:fldSimple>
      <w:bookmarkEnd w:id="2"/>
      <w:r w:rsidRPr="00552CEE">
        <w:t>: Cash flow waterfall for 1% equity stake in commercial balance sheet project under low revenue scenario.</w:t>
      </w:r>
      <w:bookmarkEnd w:id="3"/>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6"/>
        <w:gridCol w:w="45"/>
        <w:gridCol w:w="1431"/>
        <w:gridCol w:w="35"/>
        <w:gridCol w:w="1441"/>
        <w:gridCol w:w="25"/>
        <w:gridCol w:w="1452"/>
        <w:gridCol w:w="15"/>
        <w:gridCol w:w="1346"/>
      </w:tblGrid>
      <w:tr w:rsidR="008C276B" w:rsidRPr="00552CEE" w14:paraId="36DB2375" w14:textId="23D605FF" w:rsidTr="008C276B">
        <w:tc>
          <w:tcPr>
            <w:tcW w:w="3236" w:type="dxa"/>
            <w:shd w:val="clear" w:color="auto" w:fill="D0CECE" w:themeFill="background2" w:themeFillShade="E6"/>
          </w:tcPr>
          <w:p w14:paraId="10B4697E" w14:textId="77777777" w:rsidR="008C276B" w:rsidRPr="00552CEE" w:rsidRDefault="008C276B" w:rsidP="00995EE5">
            <w:pPr>
              <w:rPr>
                <w:i/>
                <w:iCs/>
              </w:rPr>
            </w:pPr>
            <w:r w:rsidRPr="00552CEE">
              <w:rPr>
                <w:i/>
                <w:iCs/>
                <w:sz w:val="20"/>
                <w:szCs w:val="20"/>
              </w:rPr>
              <w:t>Values in £million (2025, real, undiscounted)</w:t>
            </w:r>
          </w:p>
        </w:tc>
        <w:tc>
          <w:tcPr>
            <w:tcW w:w="1476" w:type="dxa"/>
            <w:gridSpan w:val="2"/>
            <w:shd w:val="clear" w:color="auto" w:fill="D0CECE" w:themeFill="background2" w:themeFillShade="E6"/>
          </w:tcPr>
          <w:p w14:paraId="743FBC0B" w14:textId="77777777" w:rsidR="008C276B" w:rsidRPr="00552CEE" w:rsidRDefault="008C276B" w:rsidP="00995EE5">
            <w:pPr>
              <w:jc w:val="center"/>
            </w:pPr>
            <w:r w:rsidRPr="00552CEE">
              <w:t>2030</w:t>
            </w:r>
          </w:p>
        </w:tc>
        <w:tc>
          <w:tcPr>
            <w:tcW w:w="1476" w:type="dxa"/>
            <w:gridSpan w:val="2"/>
            <w:shd w:val="clear" w:color="auto" w:fill="D0CECE" w:themeFill="background2" w:themeFillShade="E6"/>
          </w:tcPr>
          <w:p w14:paraId="4C1DF7D1" w14:textId="77777777" w:rsidR="008C276B" w:rsidRPr="00552CEE" w:rsidRDefault="008C276B" w:rsidP="00995EE5">
            <w:pPr>
              <w:jc w:val="center"/>
            </w:pPr>
            <w:r w:rsidRPr="00552CEE">
              <w:t>2043</w:t>
            </w:r>
          </w:p>
        </w:tc>
        <w:tc>
          <w:tcPr>
            <w:tcW w:w="1477" w:type="dxa"/>
            <w:gridSpan w:val="2"/>
            <w:shd w:val="clear" w:color="auto" w:fill="D0CECE" w:themeFill="background2" w:themeFillShade="E6"/>
          </w:tcPr>
          <w:p w14:paraId="34B8F6A7" w14:textId="77777777" w:rsidR="008C276B" w:rsidRPr="00552CEE" w:rsidRDefault="008C276B" w:rsidP="00995EE5">
            <w:pPr>
              <w:jc w:val="center"/>
            </w:pPr>
            <w:r w:rsidRPr="00552CEE">
              <w:t>2048</w:t>
            </w:r>
          </w:p>
        </w:tc>
        <w:tc>
          <w:tcPr>
            <w:tcW w:w="1361" w:type="dxa"/>
            <w:gridSpan w:val="2"/>
            <w:shd w:val="clear" w:color="auto" w:fill="D0CECE" w:themeFill="background2" w:themeFillShade="E6"/>
          </w:tcPr>
          <w:p w14:paraId="3B8E3EDD" w14:textId="77777777" w:rsidR="008C276B" w:rsidRDefault="00625C0B" w:rsidP="00995EE5">
            <w:pPr>
              <w:jc w:val="center"/>
            </w:pPr>
            <w:r>
              <w:t>2028-58</w:t>
            </w:r>
          </w:p>
          <w:p w14:paraId="64B0E00D" w14:textId="799AFE9A" w:rsidR="00625C0B" w:rsidRPr="00552CEE" w:rsidRDefault="00625C0B" w:rsidP="00995EE5">
            <w:pPr>
              <w:jc w:val="center"/>
            </w:pPr>
          </w:p>
        </w:tc>
      </w:tr>
      <w:tr w:rsidR="008C276B" w:rsidRPr="00552CEE" w14:paraId="19933513" w14:textId="70903972" w:rsidTr="008C276B">
        <w:tc>
          <w:tcPr>
            <w:tcW w:w="3236" w:type="dxa"/>
          </w:tcPr>
          <w:p w14:paraId="0FEC2197" w14:textId="77777777" w:rsidR="008C276B" w:rsidRPr="00552CEE" w:rsidRDefault="008C276B" w:rsidP="00995EE5">
            <w:r w:rsidRPr="00552CEE">
              <w:t xml:space="preserve">Upfront stake: £31million </w:t>
            </w:r>
          </w:p>
          <w:p w14:paraId="70D14869" w14:textId="77777777" w:rsidR="008C276B" w:rsidRPr="00552CEE" w:rsidRDefault="008C276B" w:rsidP="00995EE5">
            <w:r w:rsidRPr="00552CEE">
              <w:t>(1% of project)</w:t>
            </w:r>
          </w:p>
        </w:tc>
        <w:tc>
          <w:tcPr>
            <w:tcW w:w="1476" w:type="dxa"/>
            <w:gridSpan w:val="2"/>
          </w:tcPr>
          <w:p w14:paraId="27D3EAF1" w14:textId="77777777" w:rsidR="008C276B" w:rsidRPr="00552CEE" w:rsidRDefault="008C276B" w:rsidP="00995EE5">
            <w:pPr>
              <w:jc w:val="center"/>
            </w:pPr>
          </w:p>
        </w:tc>
        <w:tc>
          <w:tcPr>
            <w:tcW w:w="1476" w:type="dxa"/>
            <w:gridSpan w:val="2"/>
          </w:tcPr>
          <w:p w14:paraId="07E8F0B4" w14:textId="77777777" w:rsidR="008C276B" w:rsidRPr="00552CEE" w:rsidRDefault="008C276B" w:rsidP="00995EE5">
            <w:pPr>
              <w:jc w:val="center"/>
            </w:pPr>
          </w:p>
        </w:tc>
        <w:tc>
          <w:tcPr>
            <w:tcW w:w="1477" w:type="dxa"/>
            <w:gridSpan w:val="2"/>
          </w:tcPr>
          <w:p w14:paraId="0E66D201" w14:textId="77777777" w:rsidR="008C276B" w:rsidRPr="00552CEE" w:rsidRDefault="008C276B" w:rsidP="00995EE5">
            <w:pPr>
              <w:jc w:val="center"/>
            </w:pPr>
          </w:p>
        </w:tc>
        <w:tc>
          <w:tcPr>
            <w:tcW w:w="1361" w:type="dxa"/>
            <w:gridSpan w:val="2"/>
          </w:tcPr>
          <w:p w14:paraId="67F8CBBD" w14:textId="77777777" w:rsidR="008C276B" w:rsidRPr="00552CEE" w:rsidRDefault="008C276B" w:rsidP="00995EE5">
            <w:pPr>
              <w:jc w:val="center"/>
            </w:pPr>
          </w:p>
        </w:tc>
      </w:tr>
      <w:tr w:rsidR="008C276B" w:rsidRPr="00552CEE" w14:paraId="17E82388" w14:textId="4EACFF48" w:rsidTr="008C276B">
        <w:tc>
          <w:tcPr>
            <w:tcW w:w="3236" w:type="dxa"/>
            <w:vAlign w:val="bottom"/>
          </w:tcPr>
          <w:p w14:paraId="3F67E308" w14:textId="77777777" w:rsidR="008C276B" w:rsidRPr="00552CEE" w:rsidRDefault="008C276B" w:rsidP="006F6FEB">
            <w:r w:rsidRPr="00552CEE">
              <w:t>Revenue</w:t>
            </w:r>
          </w:p>
        </w:tc>
        <w:tc>
          <w:tcPr>
            <w:tcW w:w="1476" w:type="dxa"/>
            <w:gridSpan w:val="2"/>
          </w:tcPr>
          <w:p w14:paraId="0F7D8E8A" w14:textId="472E8E3E" w:rsidR="008C276B" w:rsidRPr="00552CEE" w:rsidRDefault="008C276B" w:rsidP="006F6FEB">
            <w:pPr>
              <w:jc w:val="center"/>
            </w:pPr>
            <w:r w:rsidRPr="00552CEE">
              <w:t>3.3</w:t>
            </w:r>
          </w:p>
        </w:tc>
        <w:tc>
          <w:tcPr>
            <w:tcW w:w="1476" w:type="dxa"/>
            <w:gridSpan w:val="2"/>
          </w:tcPr>
          <w:p w14:paraId="5ED1F56F" w14:textId="6F0F7CE5" w:rsidR="008C276B" w:rsidRPr="00552CEE" w:rsidRDefault="008C276B" w:rsidP="006F6FEB">
            <w:pPr>
              <w:jc w:val="center"/>
            </w:pPr>
            <w:r w:rsidRPr="00552CEE">
              <w:t>2.1</w:t>
            </w:r>
          </w:p>
        </w:tc>
        <w:tc>
          <w:tcPr>
            <w:tcW w:w="1477" w:type="dxa"/>
            <w:gridSpan w:val="2"/>
          </w:tcPr>
          <w:p w14:paraId="37C19118" w14:textId="260CA89E" w:rsidR="008C276B" w:rsidRPr="00552CEE" w:rsidRDefault="008C276B" w:rsidP="006F6FEB">
            <w:pPr>
              <w:jc w:val="center"/>
            </w:pPr>
            <w:r w:rsidRPr="00552CEE">
              <w:t>2.1</w:t>
            </w:r>
          </w:p>
        </w:tc>
        <w:tc>
          <w:tcPr>
            <w:tcW w:w="1361" w:type="dxa"/>
            <w:gridSpan w:val="2"/>
          </w:tcPr>
          <w:p w14:paraId="5DCA3D07" w14:textId="77777777" w:rsidR="008C276B" w:rsidRPr="00552CEE" w:rsidRDefault="008C276B" w:rsidP="006F6FEB">
            <w:pPr>
              <w:jc w:val="center"/>
            </w:pPr>
          </w:p>
        </w:tc>
      </w:tr>
      <w:tr w:rsidR="008C276B" w:rsidRPr="00552CEE" w14:paraId="35CC0A6F" w14:textId="32942783" w:rsidTr="008C276B">
        <w:tc>
          <w:tcPr>
            <w:tcW w:w="3236" w:type="dxa"/>
            <w:vAlign w:val="bottom"/>
          </w:tcPr>
          <w:p w14:paraId="3FA7DBC4" w14:textId="77777777" w:rsidR="008C276B" w:rsidRPr="00552CEE" w:rsidRDefault="008C276B" w:rsidP="006F6FEB">
            <w:r w:rsidRPr="00552CEE">
              <w:t>Operating Costs</w:t>
            </w:r>
          </w:p>
        </w:tc>
        <w:tc>
          <w:tcPr>
            <w:tcW w:w="1476" w:type="dxa"/>
            <w:gridSpan w:val="2"/>
          </w:tcPr>
          <w:p w14:paraId="25A6D35C" w14:textId="6F88B4EE" w:rsidR="008C276B" w:rsidRPr="00552CEE" w:rsidRDefault="008C276B" w:rsidP="006F6FEB">
            <w:pPr>
              <w:jc w:val="center"/>
            </w:pPr>
            <w:r w:rsidRPr="00552CEE">
              <w:t>0.8</w:t>
            </w:r>
          </w:p>
        </w:tc>
        <w:tc>
          <w:tcPr>
            <w:tcW w:w="1476" w:type="dxa"/>
            <w:gridSpan w:val="2"/>
          </w:tcPr>
          <w:p w14:paraId="0C072C25" w14:textId="7E18DAA5" w:rsidR="008C276B" w:rsidRPr="00552CEE" w:rsidRDefault="008C276B" w:rsidP="006F6FEB">
            <w:pPr>
              <w:jc w:val="center"/>
            </w:pPr>
            <w:r w:rsidRPr="00552CEE">
              <w:t>0.8</w:t>
            </w:r>
          </w:p>
        </w:tc>
        <w:tc>
          <w:tcPr>
            <w:tcW w:w="1477" w:type="dxa"/>
            <w:gridSpan w:val="2"/>
          </w:tcPr>
          <w:p w14:paraId="0A353201" w14:textId="11793D89" w:rsidR="008C276B" w:rsidRPr="00552CEE" w:rsidRDefault="008C276B" w:rsidP="006F6FEB">
            <w:pPr>
              <w:jc w:val="center"/>
            </w:pPr>
            <w:r w:rsidRPr="00552CEE">
              <w:t>0.8</w:t>
            </w:r>
          </w:p>
        </w:tc>
        <w:tc>
          <w:tcPr>
            <w:tcW w:w="1361" w:type="dxa"/>
            <w:gridSpan w:val="2"/>
          </w:tcPr>
          <w:p w14:paraId="78BC8AA1" w14:textId="77777777" w:rsidR="008C276B" w:rsidRPr="00552CEE" w:rsidRDefault="008C276B" w:rsidP="006F6FEB">
            <w:pPr>
              <w:jc w:val="center"/>
            </w:pPr>
          </w:p>
        </w:tc>
      </w:tr>
      <w:tr w:rsidR="008C276B" w:rsidRPr="00552CEE" w14:paraId="029CD0B6" w14:textId="741F2B9C" w:rsidTr="008C276B">
        <w:tc>
          <w:tcPr>
            <w:tcW w:w="3236" w:type="dxa"/>
            <w:vAlign w:val="bottom"/>
          </w:tcPr>
          <w:p w14:paraId="6FB91565" w14:textId="77777777" w:rsidR="008C276B" w:rsidRPr="00552CEE" w:rsidRDefault="008C276B" w:rsidP="006F6FEB">
            <w:pPr>
              <w:rPr>
                <w:color w:val="BFBFBF" w:themeColor="background1" w:themeShade="BF"/>
              </w:rPr>
            </w:pPr>
            <w:r w:rsidRPr="00552CEE">
              <w:rPr>
                <w:color w:val="BFBFBF" w:themeColor="background1" w:themeShade="BF"/>
              </w:rPr>
              <w:t>Commercial debt servicing</w:t>
            </w:r>
          </w:p>
        </w:tc>
        <w:tc>
          <w:tcPr>
            <w:tcW w:w="1476" w:type="dxa"/>
            <w:gridSpan w:val="2"/>
          </w:tcPr>
          <w:p w14:paraId="2A76B210" w14:textId="218C3D6A" w:rsidR="008C276B" w:rsidRPr="00552CEE" w:rsidRDefault="008C276B" w:rsidP="006F6FEB">
            <w:pPr>
              <w:jc w:val="center"/>
              <w:rPr>
                <w:color w:val="BFBFBF" w:themeColor="background1" w:themeShade="BF"/>
              </w:rPr>
            </w:pPr>
            <w:r w:rsidRPr="00552CEE">
              <w:rPr>
                <w:color w:val="BFBFBF" w:themeColor="background1" w:themeShade="BF"/>
              </w:rPr>
              <w:t>0.0</w:t>
            </w:r>
          </w:p>
        </w:tc>
        <w:tc>
          <w:tcPr>
            <w:tcW w:w="1476" w:type="dxa"/>
            <w:gridSpan w:val="2"/>
          </w:tcPr>
          <w:p w14:paraId="2699D8B8" w14:textId="19C5ADF5" w:rsidR="008C276B" w:rsidRPr="00552CEE" w:rsidRDefault="008C276B" w:rsidP="006F6FEB">
            <w:pPr>
              <w:jc w:val="center"/>
              <w:rPr>
                <w:color w:val="BFBFBF" w:themeColor="background1" w:themeShade="BF"/>
              </w:rPr>
            </w:pPr>
            <w:r w:rsidRPr="00552CEE">
              <w:rPr>
                <w:color w:val="BFBFBF" w:themeColor="background1" w:themeShade="BF"/>
              </w:rPr>
              <w:t>0.0</w:t>
            </w:r>
          </w:p>
        </w:tc>
        <w:tc>
          <w:tcPr>
            <w:tcW w:w="1477" w:type="dxa"/>
            <w:gridSpan w:val="2"/>
          </w:tcPr>
          <w:p w14:paraId="771BDA90" w14:textId="13FB7D7E" w:rsidR="008C276B" w:rsidRPr="00552CEE" w:rsidRDefault="008C276B" w:rsidP="006F6FEB">
            <w:pPr>
              <w:jc w:val="center"/>
              <w:rPr>
                <w:color w:val="BFBFBF" w:themeColor="background1" w:themeShade="BF"/>
              </w:rPr>
            </w:pPr>
            <w:r w:rsidRPr="00552CEE">
              <w:rPr>
                <w:color w:val="BFBFBF" w:themeColor="background1" w:themeShade="BF"/>
              </w:rPr>
              <w:t>0.0</w:t>
            </w:r>
          </w:p>
        </w:tc>
        <w:tc>
          <w:tcPr>
            <w:tcW w:w="1361" w:type="dxa"/>
            <w:gridSpan w:val="2"/>
          </w:tcPr>
          <w:p w14:paraId="6AD8F9E1" w14:textId="77777777" w:rsidR="008C276B" w:rsidRPr="00552CEE" w:rsidRDefault="008C276B" w:rsidP="006F6FEB">
            <w:pPr>
              <w:jc w:val="center"/>
              <w:rPr>
                <w:color w:val="BFBFBF" w:themeColor="background1" w:themeShade="BF"/>
              </w:rPr>
            </w:pPr>
          </w:p>
        </w:tc>
      </w:tr>
      <w:tr w:rsidR="008C276B" w:rsidRPr="00552CEE" w14:paraId="17660C4A" w14:textId="20F71078" w:rsidTr="008C276B">
        <w:tc>
          <w:tcPr>
            <w:tcW w:w="3236" w:type="dxa"/>
            <w:vAlign w:val="bottom"/>
          </w:tcPr>
          <w:p w14:paraId="54FF761C" w14:textId="77777777" w:rsidR="008C276B" w:rsidRPr="00552CEE" w:rsidRDefault="008C276B" w:rsidP="006F6FEB">
            <w:r w:rsidRPr="00552CEE">
              <w:t>Cash flow from project to SO</w:t>
            </w:r>
          </w:p>
        </w:tc>
        <w:tc>
          <w:tcPr>
            <w:tcW w:w="1476" w:type="dxa"/>
            <w:gridSpan w:val="2"/>
          </w:tcPr>
          <w:p w14:paraId="6762FF84" w14:textId="47514D8E" w:rsidR="008C276B" w:rsidRPr="00552CEE" w:rsidRDefault="008C276B" w:rsidP="006F6FEB">
            <w:pPr>
              <w:jc w:val="center"/>
            </w:pPr>
            <w:r w:rsidRPr="00552CEE">
              <w:t>2.5</w:t>
            </w:r>
          </w:p>
        </w:tc>
        <w:tc>
          <w:tcPr>
            <w:tcW w:w="1476" w:type="dxa"/>
            <w:gridSpan w:val="2"/>
          </w:tcPr>
          <w:p w14:paraId="5BF158A6" w14:textId="00AA072B" w:rsidR="008C276B" w:rsidRPr="00552CEE" w:rsidRDefault="008C276B" w:rsidP="006F6FEB">
            <w:pPr>
              <w:jc w:val="center"/>
            </w:pPr>
            <w:r w:rsidRPr="00552CEE">
              <w:t>1.3</w:t>
            </w:r>
          </w:p>
        </w:tc>
        <w:tc>
          <w:tcPr>
            <w:tcW w:w="1477" w:type="dxa"/>
            <w:gridSpan w:val="2"/>
          </w:tcPr>
          <w:p w14:paraId="54E2AF25" w14:textId="0DE2C41F" w:rsidR="008C276B" w:rsidRPr="00552CEE" w:rsidRDefault="008C276B" w:rsidP="006F6FEB">
            <w:pPr>
              <w:jc w:val="center"/>
            </w:pPr>
            <w:r w:rsidRPr="00552CEE">
              <w:t>1.3</w:t>
            </w:r>
          </w:p>
        </w:tc>
        <w:tc>
          <w:tcPr>
            <w:tcW w:w="1361" w:type="dxa"/>
            <w:gridSpan w:val="2"/>
          </w:tcPr>
          <w:p w14:paraId="413F9C71" w14:textId="77777777" w:rsidR="008C276B" w:rsidRPr="00552CEE" w:rsidRDefault="008C276B" w:rsidP="006F6FEB">
            <w:pPr>
              <w:jc w:val="center"/>
            </w:pPr>
          </w:p>
        </w:tc>
      </w:tr>
      <w:tr w:rsidR="008C276B" w:rsidRPr="00552CEE" w14:paraId="74AF77AD" w14:textId="40617484" w:rsidTr="008C276B">
        <w:tc>
          <w:tcPr>
            <w:tcW w:w="3236" w:type="dxa"/>
            <w:vAlign w:val="bottom"/>
          </w:tcPr>
          <w:p w14:paraId="40F2314C" w14:textId="77777777" w:rsidR="008C276B" w:rsidRPr="00552CEE" w:rsidRDefault="008C276B" w:rsidP="006F6FEB">
            <w:r w:rsidRPr="00552CEE">
              <w:t>Public Sector loan servicing</w:t>
            </w:r>
          </w:p>
        </w:tc>
        <w:tc>
          <w:tcPr>
            <w:tcW w:w="1476" w:type="dxa"/>
            <w:gridSpan w:val="2"/>
          </w:tcPr>
          <w:p w14:paraId="265A1637" w14:textId="11BD4AF8" w:rsidR="008C276B" w:rsidRPr="00552CEE" w:rsidRDefault="008C276B" w:rsidP="006F6FEB">
            <w:pPr>
              <w:jc w:val="center"/>
            </w:pPr>
            <w:r w:rsidRPr="00552CEE">
              <w:t>1.9</w:t>
            </w:r>
          </w:p>
        </w:tc>
        <w:tc>
          <w:tcPr>
            <w:tcW w:w="1476" w:type="dxa"/>
            <w:gridSpan w:val="2"/>
          </w:tcPr>
          <w:p w14:paraId="6912FB25" w14:textId="467A33C5" w:rsidR="008C276B" w:rsidRPr="00552CEE" w:rsidRDefault="008C276B" w:rsidP="006F6FEB">
            <w:pPr>
              <w:jc w:val="center"/>
            </w:pPr>
            <w:r w:rsidRPr="00552CEE">
              <w:t>1.9</w:t>
            </w:r>
          </w:p>
        </w:tc>
        <w:tc>
          <w:tcPr>
            <w:tcW w:w="1477" w:type="dxa"/>
            <w:gridSpan w:val="2"/>
          </w:tcPr>
          <w:p w14:paraId="18399901" w14:textId="605EBC7E" w:rsidR="008C276B" w:rsidRPr="00552CEE" w:rsidRDefault="008C276B" w:rsidP="006F6FEB">
            <w:pPr>
              <w:jc w:val="center"/>
            </w:pPr>
            <w:r w:rsidRPr="00552CEE">
              <w:t>0.0</w:t>
            </w:r>
          </w:p>
        </w:tc>
        <w:tc>
          <w:tcPr>
            <w:tcW w:w="1361" w:type="dxa"/>
            <w:gridSpan w:val="2"/>
          </w:tcPr>
          <w:p w14:paraId="75BFC125" w14:textId="77777777" w:rsidR="008C276B" w:rsidRPr="00552CEE" w:rsidRDefault="008C276B" w:rsidP="006F6FEB">
            <w:pPr>
              <w:jc w:val="center"/>
            </w:pPr>
          </w:p>
        </w:tc>
      </w:tr>
      <w:tr w:rsidR="008C276B" w:rsidRPr="00552CEE" w14:paraId="05704D03" w14:textId="5861966F" w:rsidTr="008C276B">
        <w:tc>
          <w:tcPr>
            <w:tcW w:w="3236" w:type="dxa"/>
            <w:vAlign w:val="bottom"/>
          </w:tcPr>
          <w:p w14:paraId="0A8F3085" w14:textId="77777777" w:rsidR="008C276B" w:rsidRPr="00552CEE" w:rsidRDefault="008C276B" w:rsidP="006F6FEB">
            <w:r w:rsidRPr="00552CEE">
              <w:t>Final SO income</w:t>
            </w:r>
          </w:p>
        </w:tc>
        <w:tc>
          <w:tcPr>
            <w:tcW w:w="1476" w:type="dxa"/>
            <w:gridSpan w:val="2"/>
          </w:tcPr>
          <w:p w14:paraId="32451DC8" w14:textId="0C1372C5" w:rsidR="008C276B" w:rsidRPr="00552CEE" w:rsidRDefault="008C276B" w:rsidP="006F6FEB">
            <w:pPr>
              <w:jc w:val="center"/>
            </w:pPr>
            <w:r w:rsidRPr="00552CEE">
              <w:t>0.7</w:t>
            </w:r>
          </w:p>
        </w:tc>
        <w:tc>
          <w:tcPr>
            <w:tcW w:w="1476" w:type="dxa"/>
            <w:gridSpan w:val="2"/>
          </w:tcPr>
          <w:p w14:paraId="209455BA" w14:textId="21CE143B" w:rsidR="008C276B" w:rsidRPr="00552CEE" w:rsidRDefault="008C276B" w:rsidP="006F6FEB">
            <w:pPr>
              <w:jc w:val="center"/>
            </w:pPr>
            <w:r w:rsidRPr="00552CEE">
              <w:rPr>
                <w:color w:val="C00000" w:themeColor="accent4"/>
              </w:rPr>
              <w:t>-0.6</w:t>
            </w:r>
          </w:p>
        </w:tc>
        <w:tc>
          <w:tcPr>
            <w:tcW w:w="1477" w:type="dxa"/>
            <w:gridSpan w:val="2"/>
          </w:tcPr>
          <w:p w14:paraId="75A992C4" w14:textId="438E8A19" w:rsidR="008C276B" w:rsidRPr="00552CEE" w:rsidRDefault="008C276B" w:rsidP="006F6FEB">
            <w:pPr>
              <w:jc w:val="center"/>
            </w:pPr>
            <w:r w:rsidRPr="00552CEE">
              <w:t>1.3</w:t>
            </w:r>
          </w:p>
        </w:tc>
        <w:tc>
          <w:tcPr>
            <w:tcW w:w="1361" w:type="dxa"/>
            <w:gridSpan w:val="2"/>
          </w:tcPr>
          <w:p w14:paraId="32D5130A" w14:textId="77777777" w:rsidR="008C276B" w:rsidRPr="00552CEE" w:rsidRDefault="008C276B" w:rsidP="006F6FEB">
            <w:pPr>
              <w:jc w:val="center"/>
            </w:pPr>
          </w:p>
        </w:tc>
      </w:tr>
      <w:tr w:rsidR="008C276B" w:rsidRPr="00552CEE" w14:paraId="6334CBB5" w14:textId="334843FF" w:rsidTr="008C276B">
        <w:tc>
          <w:tcPr>
            <w:tcW w:w="3236" w:type="dxa"/>
            <w:vAlign w:val="bottom"/>
          </w:tcPr>
          <w:p w14:paraId="045CD209" w14:textId="77777777" w:rsidR="008C276B" w:rsidRPr="00552CEE" w:rsidRDefault="008C276B" w:rsidP="00961745">
            <w:pPr>
              <w:rPr>
                <w:color w:val="AEAAAA" w:themeColor="background2" w:themeShade="BF"/>
              </w:rPr>
            </w:pPr>
            <w:r w:rsidRPr="00552CEE">
              <w:rPr>
                <w:color w:val="AEAAAA" w:themeColor="background2" w:themeShade="BF"/>
              </w:rPr>
              <w:t xml:space="preserve">Basecase final SO income </w:t>
            </w:r>
          </w:p>
        </w:tc>
        <w:tc>
          <w:tcPr>
            <w:tcW w:w="1476" w:type="dxa"/>
            <w:gridSpan w:val="2"/>
          </w:tcPr>
          <w:p w14:paraId="77F25F0F" w14:textId="0C0F4BBF" w:rsidR="008C276B" w:rsidRPr="00552CEE" w:rsidRDefault="008C276B" w:rsidP="00961745">
            <w:pPr>
              <w:jc w:val="center"/>
              <w:rPr>
                <w:color w:val="AEAAAA" w:themeColor="background2" w:themeShade="BF"/>
              </w:rPr>
            </w:pPr>
            <w:r w:rsidRPr="00552CEE">
              <w:rPr>
                <w:color w:val="AEAAAA" w:themeColor="background2" w:themeShade="BF"/>
              </w:rPr>
              <w:t>1.1</w:t>
            </w:r>
          </w:p>
        </w:tc>
        <w:tc>
          <w:tcPr>
            <w:tcW w:w="1476" w:type="dxa"/>
            <w:gridSpan w:val="2"/>
          </w:tcPr>
          <w:p w14:paraId="2835C0B5" w14:textId="52E5DB25" w:rsidR="008C276B" w:rsidRPr="00552CEE" w:rsidRDefault="008C276B" w:rsidP="00961745">
            <w:pPr>
              <w:jc w:val="center"/>
              <w:rPr>
                <w:color w:val="AEAAAA" w:themeColor="background2" w:themeShade="BF"/>
              </w:rPr>
            </w:pPr>
            <w:r w:rsidRPr="00552CEE">
              <w:rPr>
                <w:color w:val="AEAAAA" w:themeColor="background2" w:themeShade="BF"/>
              </w:rPr>
              <w:t>-0.3</w:t>
            </w:r>
          </w:p>
        </w:tc>
        <w:tc>
          <w:tcPr>
            <w:tcW w:w="1477" w:type="dxa"/>
            <w:gridSpan w:val="2"/>
          </w:tcPr>
          <w:p w14:paraId="312E95C7" w14:textId="5CB51FC1" w:rsidR="008C276B" w:rsidRPr="00552CEE" w:rsidRDefault="008C276B" w:rsidP="00961745">
            <w:pPr>
              <w:jc w:val="center"/>
              <w:rPr>
                <w:color w:val="AEAAAA" w:themeColor="background2" w:themeShade="BF"/>
              </w:rPr>
            </w:pPr>
            <w:r w:rsidRPr="00552CEE">
              <w:rPr>
                <w:color w:val="AEAAAA" w:themeColor="background2" w:themeShade="BF"/>
              </w:rPr>
              <w:t>1.6</w:t>
            </w:r>
          </w:p>
        </w:tc>
        <w:tc>
          <w:tcPr>
            <w:tcW w:w="1361" w:type="dxa"/>
            <w:gridSpan w:val="2"/>
          </w:tcPr>
          <w:p w14:paraId="76654D8C" w14:textId="77777777" w:rsidR="008C276B" w:rsidRPr="00552CEE" w:rsidRDefault="008C276B" w:rsidP="00961745">
            <w:pPr>
              <w:jc w:val="center"/>
              <w:rPr>
                <w:color w:val="AEAAAA" w:themeColor="background2" w:themeShade="BF"/>
              </w:rPr>
            </w:pPr>
          </w:p>
        </w:tc>
      </w:tr>
      <w:tr w:rsidR="008C276B" w:rsidRPr="00552CEE" w14:paraId="7322F0E6" w14:textId="77777777" w:rsidTr="004E2AB3">
        <w:tc>
          <w:tcPr>
            <w:tcW w:w="3281" w:type="dxa"/>
            <w:gridSpan w:val="2"/>
            <w:vAlign w:val="bottom"/>
          </w:tcPr>
          <w:p w14:paraId="5FD9E47C" w14:textId="77777777" w:rsidR="00625C0B" w:rsidRDefault="00625C0B" w:rsidP="00625C0B">
            <w:r>
              <w:t>Cumulative lifetime income</w:t>
            </w:r>
          </w:p>
          <w:p w14:paraId="08F27FE3" w14:textId="451F5E03" w:rsidR="008C276B" w:rsidRPr="00552CEE" w:rsidRDefault="00625C0B" w:rsidP="00625C0B">
            <w:r>
              <w:t>(30 years, undiscounted)</w:t>
            </w:r>
          </w:p>
        </w:tc>
        <w:tc>
          <w:tcPr>
            <w:tcW w:w="1466" w:type="dxa"/>
            <w:gridSpan w:val="2"/>
          </w:tcPr>
          <w:p w14:paraId="5A20E6C7" w14:textId="77777777" w:rsidR="008C276B" w:rsidRPr="00552CEE" w:rsidRDefault="008C276B" w:rsidP="004E2AB3">
            <w:pPr>
              <w:jc w:val="center"/>
            </w:pPr>
          </w:p>
        </w:tc>
        <w:tc>
          <w:tcPr>
            <w:tcW w:w="1466" w:type="dxa"/>
            <w:gridSpan w:val="2"/>
          </w:tcPr>
          <w:p w14:paraId="3B424CCA" w14:textId="77777777" w:rsidR="008C276B" w:rsidRPr="00552CEE" w:rsidRDefault="008C276B" w:rsidP="004E2AB3">
            <w:pPr>
              <w:jc w:val="center"/>
              <w:rPr>
                <w:color w:val="C00000" w:themeColor="accent4"/>
              </w:rPr>
            </w:pPr>
          </w:p>
        </w:tc>
        <w:tc>
          <w:tcPr>
            <w:tcW w:w="1467" w:type="dxa"/>
            <w:gridSpan w:val="2"/>
          </w:tcPr>
          <w:p w14:paraId="7988BBD1" w14:textId="77777777" w:rsidR="008C276B" w:rsidRPr="00552CEE" w:rsidRDefault="008C276B" w:rsidP="004E2AB3">
            <w:pPr>
              <w:jc w:val="center"/>
            </w:pPr>
          </w:p>
        </w:tc>
        <w:tc>
          <w:tcPr>
            <w:tcW w:w="1346" w:type="dxa"/>
          </w:tcPr>
          <w:p w14:paraId="0D9A4A59" w14:textId="1AC9C6D2" w:rsidR="008C276B" w:rsidRPr="00552CEE" w:rsidRDefault="008C276B" w:rsidP="004E2AB3">
            <w:pPr>
              <w:jc w:val="center"/>
            </w:pPr>
            <w:r>
              <w:t>20.5</w:t>
            </w:r>
          </w:p>
        </w:tc>
      </w:tr>
    </w:tbl>
    <w:p w14:paraId="2EDA35C2" w14:textId="77777777" w:rsidR="00625C0B" w:rsidRDefault="00625C0B" w:rsidP="00AB6A5D">
      <w:pPr>
        <w:pStyle w:val="Caption"/>
        <w:keepNext/>
        <w:jc w:val="center"/>
      </w:pPr>
      <w:bookmarkStart w:id="4" w:name="_Ref222977307"/>
    </w:p>
    <w:p w14:paraId="448ACA65" w14:textId="77777777" w:rsidR="00625C0B" w:rsidRDefault="00625C0B" w:rsidP="00625C0B"/>
    <w:p w14:paraId="1921E0D7" w14:textId="77777777" w:rsidR="00625C0B" w:rsidRDefault="00625C0B" w:rsidP="00625C0B"/>
    <w:p w14:paraId="05CD8818" w14:textId="77777777" w:rsidR="00625C0B" w:rsidRDefault="00625C0B" w:rsidP="00625C0B"/>
    <w:p w14:paraId="1FDEAA87" w14:textId="77777777" w:rsidR="00625C0B" w:rsidRDefault="00625C0B" w:rsidP="00625C0B"/>
    <w:p w14:paraId="1A365F2E" w14:textId="77777777" w:rsidR="00625C0B" w:rsidRDefault="00625C0B" w:rsidP="00625C0B"/>
    <w:p w14:paraId="73B8508E" w14:textId="77777777" w:rsidR="00625C0B" w:rsidRDefault="00625C0B" w:rsidP="00625C0B"/>
    <w:p w14:paraId="2A35060C" w14:textId="77777777" w:rsidR="00625C0B" w:rsidRDefault="00625C0B" w:rsidP="00625C0B"/>
    <w:p w14:paraId="5D73F8B6" w14:textId="77777777" w:rsidR="00625C0B" w:rsidRPr="00625C0B" w:rsidRDefault="00625C0B" w:rsidP="00625C0B"/>
    <w:p w14:paraId="76481BE6" w14:textId="4B664E64" w:rsidR="00AB6A5D" w:rsidRPr="00552CEE" w:rsidRDefault="00AB6A5D" w:rsidP="00AB6A5D">
      <w:pPr>
        <w:pStyle w:val="Caption"/>
        <w:keepNext/>
        <w:jc w:val="center"/>
      </w:pPr>
      <w:r w:rsidRPr="00552CEE">
        <w:t xml:space="preserve">Table </w:t>
      </w:r>
      <w:fldSimple w:instr=" SEQ Table \* ARABIC ">
        <w:r w:rsidR="00BA359F">
          <w:rPr>
            <w:noProof/>
          </w:rPr>
          <w:t>7</w:t>
        </w:r>
      </w:fldSimple>
      <w:bookmarkEnd w:id="4"/>
      <w:r w:rsidRPr="00552CEE">
        <w:t xml:space="preserve">: Cash flow waterfall for 2% equity stake in </w:t>
      </w:r>
      <w:r w:rsidR="00025C38" w:rsidRPr="00552CEE">
        <w:t xml:space="preserve">project-financed joint venture </w:t>
      </w:r>
      <w:r w:rsidRPr="00552CEE">
        <w:t>project under low revenue scenario.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6"/>
        <w:gridCol w:w="45"/>
        <w:gridCol w:w="1431"/>
        <w:gridCol w:w="35"/>
        <w:gridCol w:w="1441"/>
        <w:gridCol w:w="25"/>
        <w:gridCol w:w="1452"/>
        <w:gridCol w:w="15"/>
        <w:gridCol w:w="1346"/>
      </w:tblGrid>
      <w:tr w:rsidR="008C276B" w:rsidRPr="00552CEE" w14:paraId="2E7E8BBF" w14:textId="0C23EA30" w:rsidTr="008C276B">
        <w:tc>
          <w:tcPr>
            <w:tcW w:w="3236" w:type="dxa"/>
            <w:shd w:val="clear" w:color="auto" w:fill="D0CECE" w:themeFill="background2" w:themeFillShade="E6"/>
          </w:tcPr>
          <w:p w14:paraId="58DCD21D" w14:textId="77777777" w:rsidR="008C276B" w:rsidRPr="00552CEE" w:rsidRDefault="008C276B" w:rsidP="00995EE5">
            <w:pPr>
              <w:rPr>
                <w:i/>
                <w:iCs/>
              </w:rPr>
            </w:pPr>
            <w:r w:rsidRPr="00552CEE">
              <w:rPr>
                <w:i/>
                <w:iCs/>
                <w:sz w:val="20"/>
                <w:szCs w:val="20"/>
              </w:rPr>
              <w:t>Values in £million (2025, real, undiscounted)</w:t>
            </w:r>
          </w:p>
        </w:tc>
        <w:tc>
          <w:tcPr>
            <w:tcW w:w="1476" w:type="dxa"/>
            <w:gridSpan w:val="2"/>
            <w:shd w:val="clear" w:color="auto" w:fill="D0CECE" w:themeFill="background2" w:themeFillShade="E6"/>
          </w:tcPr>
          <w:p w14:paraId="2A759AB9" w14:textId="77777777" w:rsidR="008C276B" w:rsidRPr="00552CEE" w:rsidRDefault="008C276B" w:rsidP="00995EE5">
            <w:pPr>
              <w:jc w:val="center"/>
            </w:pPr>
            <w:r w:rsidRPr="00552CEE">
              <w:t>2030</w:t>
            </w:r>
          </w:p>
        </w:tc>
        <w:tc>
          <w:tcPr>
            <w:tcW w:w="1476" w:type="dxa"/>
            <w:gridSpan w:val="2"/>
            <w:shd w:val="clear" w:color="auto" w:fill="D0CECE" w:themeFill="background2" w:themeFillShade="E6"/>
          </w:tcPr>
          <w:p w14:paraId="7CBD6C2B" w14:textId="77777777" w:rsidR="008C276B" w:rsidRPr="00552CEE" w:rsidRDefault="008C276B" w:rsidP="00995EE5">
            <w:pPr>
              <w:jc w:val="center"/>
            </w:pPr>
            <w:r w:rsidRPr="00552CEE">
              <w:t>2043</w:t>
            </w:r>
          </w:p>
        </w:tc>
        <w:tc>
          <w:tcPr>
            <w:tcW w:w="1477" w:type="dxa"/>
            <w:gridSpan w:val="2"/>
            <w:shd w:val="clear" w:color="auto" w:fill="D0CECE" w:themeFill="background2" w:themeFillShade="E6"/>
          </w:tcPr>
          <w:p w14:paraId="09EB99F9" w14:textId="77777777" w:rsidR="008C276B" w:rsidRPr="00552CEE" w:rsidRDefault="008C276B" w:rsidP="00995EE5">
            <w:pPr>
              <w:jc w:val="center"/>
            </w:pPr>
            <w:r w:rsidRPr="00552CEE">
              <w:t>2048</w:t>
            </w:r>
          </w:p>
        </w:tc>
        <w:tc>
          <w:tcPr>
            <w:tcW w:w="1361" w:type="dxa"/>
            <w:gridSpan w:val="2"/>
            <w:shd w:val="clear" w:color="auto" w:fill="D0CECE" w:themeFill="background2" w:themeFillShade="E6"/>
          </w:tcPr>
          <w:p w14:paraId="58DBE869" w14:textId="0FD93F51" w:rsidR="008C276B" w:rsidRPr="00552CEE" w:rsidRDefault="00625C0B" w:rsidP="00995EE5">
            <w:pPr>
              <w:jc w:val="center"/>
            </w:pPr>
            <w:r>
              <w:t>2028-58</w:t>
            </w:r>
          </w:p>
        </w:tc>
      </w:tr>
      <w:tr w:rsidR="008C276B" w:rsidRPr="00552CEE" w14:paraId="5C590C8D" w14:textId="076FEE19" w:rsidTr="008C276B">
        <w:tc>
          <w:tcPr>
            <w:tcW w:w="3236" w:type="dxa"/>
          </w:tcPr>
          <w:p w14:paraId="47C3F142" w14:textId="2565095E" w:rsidR="008C276B" w:rsidRPr="00552CEE" w:rsidRDefault="008C276B" w:rsidP="00995EE5">
            <w:r w:rsidRPr="00552CEE">
              <w:t xml:space="preserve">Upfront stake: £25million </w:t>
            </w:r>
          </w:p>
          <w:p w14:paraId="430B46C5" w14:textId="77777777" w:rsidR="008C276B" w:rsidRPr="00552CEE" w:rsidRDefault="008C276B" w:rsidP="00995EE5">
            <w:r w:rsidRPr="00552CEE">
              <w:t>(2% of equity in Joint Venture SPV)</w:t>
            </w:r>
          </w:p>
        </w:tc>
        <w:tc>
          <w:tcPr>
            <w:tcW w:w="1476" w:type="dxa"/>
            <w:gridSpan w:val="2"/>
          </w:tcPr>
          <w:p w14:paraId="22A6CC95" w14:textId="77777777" w:rsidR="008C276B" w:rsidRPr="00552CEE" w:rsidRDefault="008C276B" w:rsidP="00995EE5">
            <w:pPr>
              <w:jc w:val="center"/>
            </w:pPr>
          </w:p>
        </w:tc>
        <w:tc>
          <w:tcPr>
            <w:tcW w:w="1476" w:type="dxa"/>
            <w:gridSpan w:val="2"/>
          </w:tcPr>
          <w:p w14:paraId="740341DF" w14:textId="77777777" w:rsidR="008C276B" w:rsidRPr="00552CEE" w:rsidRDefault="008C276B" w:rsidP="00995EE5">
            <w:pPr>
              <w:jc w:val="center"/>
            </w:pPr>
          </w:p>
        </w:tc>
        <w:tc>
          <w:tcPr>
            <w:tcW w:w="1477" w:type="dxa"/>
            <w:gridSpan w:val="2"/>
          </w:tcPr>
          <w:p w14:paraId="3C030EBC" w14:textId="77777777" w:rsidR="008C276B" w:rsidRPr="00552CEE" w:rsidRDefault="008C276B" w:rsidP="00995EE5">
            <w:pPr>
              <w:jc w:val="center"/>
            </w:pPr>
          </w:p>
        </w:tc>
        <w:tc>
          <w:tcPr>
            <w:tcW w:w="1361" w:type="dxa"/>
            <w:gridSpan w:val="2"/>
          </w:tcPr>
          <w:p w14:paraId="6C0DE269" w14:textId="77777777" w:rsidR="008C276B" w:rsidRPr="00552CEE" w:rsidRDefault="008C276B" w:rsidP="00995EE5">
            <w:pPr>
              <w:jc w:val="center"/>
            </w:pPr>
          </w:p>
        </w:tc>
      </w:tr>
      <w:tr w:rsidR="008C276B" w:rsidRPr="00552CEE" w14:paraId="7C3858DD" w14:textId="6BB3D239" w:rsidTr="008C276B">
        <w:tc>
          <w:tcPr>
            <w:tcW w:w="3236" w:type="dxa"/>
            <w:vAlign w:val="bottom"/>
          </w:tcPr>
          <w:p w14:paraId="5F435749" w14:textId="77777777" w:rsidR="008C276B" w:rsidRPr="00552CEE" w:rsidRDefault="008C276B" w:rsidP="00996227">
            <w:r w:rsidRPr="00552CEE">
              <w:t>Revenue</w:t>
            </w:r>
          </w:p>
        </w:tc>
        <w:tc>
          <w:tcPr>
            <w:tcW w:w="1476" w:type="dxa"/>
            <w:gridSpan w:val="2"/>
          </w:tcPr>
          <w:p w14:paraId="35787219" w14:textId="59358225" w:rsidR="008C276B" w:rsidRPr="00552CEE" w:rsidRDefault="008C276B" w:rsidP="00996227">
            <w:pPr>
              <w:jc w:val="center"/>
            </w:pPr>
            <w:r w:rsidRPr="00552CEE">
              <w:t>6.7</w:t>
            </w:r>
          </w:p>
        </w:tc>
        <w:tc>
          <w:tcPr>
            <w:tcW w:w="1476" w:type="dxa"/>
            <w:gridSpan w:val="2"/>
          </w:tcPr>
          <w:p w14:paraId="68BDF61B" w14:textId="3902F953" w:rsidR="008C276B" w:rsidRPr="00552CEE" w:rsidRDefault="008C276B" w:rsidP="00996227">
            <w:pPr>
              <w:jc w:val="center"/>
            </w:pPr>
            <w:r w:rsidRPr="00552CEE">
              <w:t>4.2</w:t>
            </w:r>
          </w:p>
        </w:tc>
        <w:tc>
          <w:tcPr>
            <w:tcW w:w="1477" w:type="dxa"/>
            <w:gridSpan w:val="2"/>
          </w:tcPr>
          <w:p w14:paraId="5A975F85" w14:textId="6F7172CE" w:rsidR="008C276B" w:rsidRPr="00552CEE" w:rsidRDefault="008C276B" w:rsidP="00996227">
            <w:pPr>
              <w:jc w:val="center"/>
            </w:pPr>
            <w:r w:rsidRPr="00552CEE">
              <w:t>4.2</w:t>
            </w:r>
          </w:p>
        </w:tc>
        <w:tc>
          <w:tcPr>
            <w:tcW w:w="1361" w:type="dxa"/>
            <w:gridSpan w:val="2"/>
          </w:tcPr>
          <w:p w14:paraId="6C94CD1D" w14:textId="77777777" w:rsidR="008C276B" w:rsidRPr="00552CEE" w:rsidRDefault="008C276B" w:rsidP="00996227">
            <w:pPr>
              <w:jc w:val="center"/>
            </w:pPr>
          </w:p>
        </w:tc>
      </w:tr>
      <w:tr w:rsidR="008C276B" w:rsidRPr="00552CEE" w14:paraId="36410D31" w14:textId="238DCDD8" w:rsidTr="008C276B">
        <w:tc>
          <w:tcPr>
            <w:tcW w:w="3236" w:type="dxa"/>
            <w:vAlign w:val="bottom"/>
          </w:tcPr>
          <w:p w14:paraId="18B6178A" w14:textId="77777777" w:rsidR="008C276B" w:rsidRPr="00552CEE" w:rsidRDefault="008C276B" w:rsidP="00996227">
            <w:r w:rsidRPr="00552CEE">
              <w:t>Operating Costs</w:t>
            </w:r>
          </w:p>
        </w:tc>
        <w:tc>
          <w:tcPr>
            <w:tcW w:w="1476" w:type="dxa"/>
            <w:gridSpan w:val="2"/>
          </w:tcPr>
          <w:p w14:paraId="1CB1C959" w14:textId="4C66159A" w:rsidR="008C276B" w:rsidRPr="00552CEE" w:rsidRDefault="008C276B" w:rsidP="00996227">
            <w:pPr>
              <w:jc w:val="center"/>
            </w:pPr>
            <w:r w:rsidRPr="00552CEE">
              <w:t>1.6</w:t>
            </w:r>
          </w:p>
        </w:tc>
        <w:tc>
          <w:tcPr>
            <w:tcW w:w="1476" w:type="dxa"/>
            <w:gridSpan w:val="2"/>
          </w:tcPr>
          <w:p w14:paraId="6B86285B" w14:textId="5415A3C6" w:rsidR="008C276B" w:rsidRPr="00552CEE" w:rsidRDefault="008C276B" w:rsidP="00996227">
            <w:pPr>
              <w:jc w:val="center"/>
            </w:pPr>
            <w:r w:rsidRPr="00552CEE">
              <w:t>1.6</w:t>
            </w:r>
          </w:p>
        </w:tc>
        <w:tc>
          <w:tcPr>
            <w:tcW w:w="1477" w:type="dxa"/>
            <w:gridSpan w:val="2"/>
          </w:tcPr>
          <w:p w14:paraId="14C720C6" w14:textId="6497A445" w:rsidR="008C276B" w:rsidRPr="00552CEE" w:rsidRDefault="008C276B" w:rsidP="00996227">
            <w:pPr>
              <w:jc w:val="center"/>
            </w:pPr>
            <w:r w:rsidRPr="00552CEE">
              <w:t>1.6</w:t>
            </w:r>
          </w:p>
        </w:tc>
        <w:tc>
          <w:tcPr>
            <w:tcW w:w="1361" w:type="dxa"/>
            <w:gridSpan w:val="2"/>
          </w:tcPr>
          <w:p w14:paraId="121E9823" w14:textId="77777777" w:rsidR="008C276B" w:rsidRPr="00552CEE" w:rsidRDefault="008C276B" w:rsidP="00996227">
            <w:pPr>
              <w:jc w:val="center"/>
            </w:pPr>
          </w:p>
        </w:tc>
      </w:tr>
      <w:tr w:rsidR="008C276B" w:rsidRPr="00552CEE" w14:paraId="4B8F48F6" w14:textId="3ABF20D3" w:rsidTr="008C276B">
        <w:tc>
          <w:tcPr>
            <w:tcW w:w="3236" w:type="dxa"/>
            <w:vAlign w:val="bottom"/>
          </w:tcPr>
          <w:p w14:paraId="78A3F2A7" w14:textId="77777777" w:rsidR="008C276B" w:rsidRPr="00552CEE" w:rsidRDefault="008C276B" w:rsidP="00996227">
            <w:r w:rsidRPr="00552CEE">
              <w:t>Commercial debt servicing</w:t>
            </w:r>
          </w:p>
        </w:tc>
        <w:tc>
          <w:tcPr>
            <w:tcW w:w="1476" w:type="dxa"/>
            <w:gridSpan w:val="2"/>
          </w:tcPr>
          <w:p w14:paraId="44A0F96A" w14:textId="33BF51D4" w:rsidR="008C276B" w:rsidRPr="00552CEE" w:rsidRDefault="008C276B" w:rsidP="00996227">
            <w:pPr>
              <w:jc w:val="center"/>
            </w:pPr>
            <w:r w:rsidRPr="00552CEE">
              <w:t>4.1</w:t>
            </w:r>
          </w:p>
        </w:tc>
        <w:tc>
          <w:tcPr>
            <w:tcW w:w="1476" w:type="dxa"/>
            <w:gridSpan w:val="2"/>
          </w:tcPr>
          <w:p w14:paraId="6E8D1E03" w14:textId="65374C21" w:rsidR="008C276B" w:rsidRPr="00552CEE" w:rsidRDefault="008C276B" w:rsidP="00996227">
            <w:pPr>
              <w:jc w:val="center"/>
            </w:pPr>
            <w:r w:rsidRPr="00552CEE">
              <w:t>0.0</w:t>
            </w:r>
          </w:p>
        </w:tc>
        <w:tc>
          <w:tcPr>
            <w:tcW w:w="1477" w:type="dxa"/>
            <w:gridSpan w:val="2"/>
          </w:tcPr>
          <w:p w14:paraId="36C5565F" w14:textId="18DB0D2F" w:rsidR="008C276B" w:rsidRPr="00552CEE" w:rsidRDefault="008C276B" w:rsidP="00996227">
            <w:pPr>
              <w:jc w:val="center"/>
            </w:pPr>
            <w:r w:rsidRPr="00552CEE">
              <w:t>0.0</w:t>
            </w:r>
          </w:p>
        </w:tc>
        <w:tc>
          <w:tcPr>
            <w:tcW w:w="1361" w:type="dxa"/>
            <w:gridSpan w:val="2"/>
          </w:tcPr>
          <w:p w14:paraId="515B1BA3" w14:textId="77777777" w:rsidR="008C276B" w:rsidRPr="00552CEE" w:rsidRDefault="008C276B" w:rsidP="00996227">
            <w:pPr>
              <w:jc w:val="center"/>
            </w:pPr>
          </w:p>
        </w:tc>
      </w:tr>
      <w:tr w:rsidR="008C276B" w:rsidRPr="00552CEE" w14:paraId="45736A8C" w14:textId="2F402604" w:rsidTr="008C276B">
        <w:tc>
          <w:tcPr>
            <w:tcW w:w="3236" w:type="dxa"/>
            <w:vAlign w:val="bottom"/>
          </w:tcPr>
          <w:p w14:paraId="52EEE606" w14:textId="77777777" w:rsidR="008C276B" w:rsidRPr="00552CEE" w:rsidRDefault="008C276B" w:rsidP="00996227">
            <w:r w:rsidRPr="00552CEE">
              <w:t>Cash flow from project to SO</w:t>
            </w:r>
          </w:p>
        </w:tc>
        <w:tc>
          <w:tcPr>
            <w:tcW w:w="1476" w:type="dxa"/>
            <w:gridSpan w:val="2"/>
          </w:tcPr>
          <w:p w14:paraId="31FB5A29" w14:textId="51401510" w:rsidR="008C276B" w:rsidRPr="00552CEE" w:rsidRDefault="008C276B" w:rsidP="00996227">
            <w:pPr>
              <w:jc w:val="center"/>
            </w:pPr>
            <w:r w:rsidRPr="00552CEE">
              <w:t>1.0</w:t>
            </w:r>
          </w:p>
        </w:tc>
        <w:tc>
          <w:tcPr>
            <w:tcW w:w="1476" w:type="dxa"/>
            <w:gridSpan w:val="2"/>
          </w:tcPr>
          <w:p w14:paraId="12BE928A" w14:textId="7AF1E048" w:rsidR="008C276B" w:rsidRPr="00552CEE" w:rsidRDefault="008C276B" w:rsidP="00996227">
            <w:pPr>
              <w:jc w:val="center"/>
            </w:pPr>
            <w:r w:rsidRPr="00552CEE">
              <w:t>2.6</w:t>
            </w:r>
          </w:p>
        </w:tc>
        <w:tc>
          <w:tcPr>
            <w:tcW w:w="1477" w:type="dxa"/>
            <w:gridSpan w:val="2"/>
          </w:tcPr>
          <w:p w14:paraId="34088217" w14:textId="350F5CA7" w:rsidR="008C276B" w:rsidRPr="00552CEE" w:rsidRDefault="008C276B" w:rsidP="00996227">
            <w:pPr>
              <w:jc w:val="center"/>
            </w:pPr>
            <w:r w:rsidRPr="00552CEE">
              <w:t>2.6</w:t>
            </w:r>
          </w:p>
        </w:tc>
        <w:tc>
          <w:tcPr>
            <w:tcW w:w="1361" w:type="dxa"/>
            <w:gridSpan w:val="2"/>
          </w:tcPr>
          <w:p w14:paraId="4AFF2D36" w14:textId="77777777" w:rsidR="008C276B" w:rsidRPr="00552CEE" w:rsidRDefault="008C276B" w:rsidP="00996227">
            <w:pPr>
              <w:jc w:val="center"/>
            </w:pPr>
          </w:p>
        </w:tc>
      </w:tr>
      <w:tr w:rsidR="008C276B" w:rsidRPr="00552CEE" w14:paraId="0C7178D2" w14:textId="3A764E94" w:rsidTr="008C276B">
        <w:tc>
          <w:tcPr>
            <w:tcW w:w="3236" w:type="dxa"/>
            <w:vAlign w:val="bottom"/>
          </w:tcPr>
          <w:p w14:paraId="77CB4D8E" w14:textId="77777777" w:rsidR="008C276B" w:rsidRPr="00552CEE" w:rsidRDefault="008C276B" w:rsidP="00996227">
            <w:r w:rsidRPr="00552CEE">
              <w:t>Public Sector loan servicing</w:t>
            </w:r>
          </w:p>
        </w:tc>
        <w:tc>
          <w:tcPr>
            <w:tcW w:w="1476" w:type="dxa"/>
            <w:gridSpan w:val="2"/>
          </w:tcPr>
          <w:p w14:paraId="4D6B327A" w14:textId="399F9A19" w:rsidR="008C276B" w:rsidRPr="00552CEE" w:rsidRDefault="008C276B" w:rsidP="00996227">
            <w:pPr>
              <w:jc w:val="center"/>
            </w:pPr>
            <w:r w:rsidRPr="00552CEE">
              <w:t>1.5</w:t>
            </w:r>
          </w:p>
        </w:tc>
        <w:tc>
          <w:tcPr>
            <w:tcW w:w="1476" w:type="dxa"/>
            <w:gridSpan w:val="2"/>
          </w:tcPr>
          <w:p w14:paraId="247C4FC2" w14:textId="615E9F2B" w:rsidR="008C276B" w:rsidRPr="00552CEE" w:rsidRDefault="008C276B" w:rsidP="00996227">
            <w:pPr>
              <w:jc w:val="center"/>
            </w:pPr>
            <w:r w:rsidRPr="00552CEE">
              <w:t>1.5</w:t>
            </w:r>
          </w:p>
        </w:tc>
        <w:tc>
          <w:tcPr>
            <w:tcW w:w="1477" w:type="dxa"/>
            <w:gridSpan w:val="2"/>
          </w:tcPr>
          <w:p w14:paraId="500C8C5C" w14:textId="42C77ECD" w:rsidR="008C276B" w:rsidRPr="00552CEE" w:rsidRDefault="008C276B" w:rsidP="00996227">
            <w:pPr>
              <w:jc w:val="center"/>
            </w:pPr>
            <w:r w:rsidRPr="00552CEE">
              <w:t>0.0</w:t>
            </w:r>
          </w:p>
        </w:tc>
        <w:tc>
          <w:tcPr>
            <w:tcW w:w="1361" w:type="dxa"/>
            <w:gridSpan w:val="2"/>
          </w:tcPr>
          <w:p w14:paraId="67B15510" w14:textId="77777777" w:rsidR="008C276B" w:rsidRPr="00552CEE" w:rsidRDefault="008C276B" w:rsidP="00996227">
            <w:pPr>
              <w:jc w:val="center"/>
            </w:pPr>
          </w:p>
        </w:tc>
      </w:tr>
      <w:tr w:rsidR="008C276B" w:rsidRPr="00552CEE" w14:paraId="5A59E9F8" w14:textId="191923BA" w:rsidTr="008C276B">
        <w:trPr>
          <w:trHeight w:val="44"/>
        </w:trPr>
        <w:tc>
          <w:tcPr>
            <w:tcW w:w="3236" w:type="dxa"/>
            <w:vAlign w:val="bottom"/>
          </w:tcPr>
          <w:p w14:paraId="7834CA21" w14:textId="77777777" w:rsidR="008C276B" w:rsidRPr="00552CEE" w:rsidRDefault="008C276B" w:rsidP="00996227">
            <w:r w:rsidRPr="00552CEE">
              <w:t>Final SO income</w:t>
            </w:r>
          </w:p>
        </w:tc>
        <w:tc>
          <w:tcPr>
            <w:tcW w:w="1476" w:type="dxa"/>
            <w:gridSpan w:val="2"/>
          </w:tcPr>
          <w:p w14:paraId="1C3B5CE3" w14:textId="2877BB4D" w:rsidR="008C276B" w:rsidRPr="00552CEE" w:rsidRDefault="008C276B" w:rsidP="00996227">
            <w:pPr>
              <w:jc w:val="center"/>
              <w:rPr>
                <w:color w:val="C00000" w:themeColor="accent4"/>
              </w:rPr>
            </w:pPr>
            <w:r w:rsidRPr="00552CEE">
              <w:rPr>
                <w:color w:val="C00000" w:themeColor="accent4"/>
              </w:rPr>
              <w:t>-0.5</w:t>
            </w:r>
          </w:p>
        </w:tc>
        <w:tc>
          <w:tcPr>
            <w:tcW w:w="1476" w:type="dxa"/>
            <w:gridSpan w:val="2"/>
          </w:tcPr>
          <w:p w14:paraId="2C671E8C" w14:textId="3C7284CB" w:rsidR="008C276B" w:rsidRPr="00552CEE" w:rsidRDefault="008C276B" w:rsidP="00996227">
            <w:pPr>
              <w:jc w:val="center"/>
              <w:rPr>
                <w:color w:val="C00000" w:themeColor="accent4"/>
              </w:rPr>
            </w:pPr>
            <w:r w:rsidRPr="00552CEE">
              <w:t>1.1</w:t>
            </w:r>
          </w:p>
        </w:tc>
        <w:tc>
          <w:tcPr>
            <w:tcW w:w="1477" w:type="dxa"/>
            <w:gridSpan w:val="2"/>
          </w:tcPr>
          <w:p w14:paraId="0B0BAF8A" w14:textId="64293925" w:rsidR="008C276B" w:rsidRPr="00552CEE" w:rsidRDefault="008C276B" w:rsidP="00996227">
            <w:pPr>
              <w:jc w:val="center"/>
            </w:pPr>
            <w:r w:rsidRPr="00552CEE">
              <w:t>2.6</w:t>
            </w:r>
          </w:p>
        </w:tc>
        <w:tc>
          <w:tcPr>
            <w:tcW w:w="1361" w:type="dxa"/>
            <w:gridSpan w:val="2"/>
          </w:tcPr>
          <w:p w14:paraId="747C5309" w14:textId="77777777" w:rsidR="008C276B" w:rsidRPr="00552CEE" w:rsidRDefault="008C276B" w:rsidP="00996227">
            <w:pPr>
              <w:jc w:val="center"/>
            </w:pPr>
          </w:p>
        </w:tc>
      </w:tr>
      <w:tr w:rsidR="008C276B" w:rsidRPr="00552CEE" w14:paraId="6B33DCBF" w14:textId="608A7083" w:rsidTr="008C276B">
        <w:trPr>
          <w:trHeight w:val="44"/>
        </w:trPr>
        <w:tc>
          <w:tcPr>
            <w:tcW w:w="3236" w:type="dxa"/>
            <w:vAlign w:val="bottom"/>
          </w:tcPr>
          <w:p w14:paraId="12D908B3" w14:textId="2073EDCD" w:rsidR="008C276B" w:rsidRPr="00552CEE" w:rsidRDefault="008C276B" w:rsidP="008651BA">
            <w:pPr>
              <w:rPr>
                <w:color w:val="A6A6A6" w:themeColor="background1" w:themeShade="A6"/>
              </w:rPr>
            </w:pPr>
            <w:r w:rsidRPr="00552CEE">
              <w:rPr>
                <w:color w:val="A6A6A6" w:themeColor="background1" w:themeShade="A6"/>
              </w:rPr>
              <w:t>Basecase final SO income</w:t>
            </w:r>
          </w:p>
        </w:tc>
        <w:tc>
          <w:tcPr>
            <w:tcW w:w="1476" w:type="dxa"/>
            <w:gridSpan w:val="2"/>
          </w:tcPr>
          <w:p w14:paraId="2B2F74A6" w14:textId="13753489" w:rsidR="008C276B" w:rsidRPr="00552CEE" w:rsidRDefault="008C276B" w:rsidP="008651BA">
            <w:pPr>
              <w:jc w:val="center"/>
              <w:rPr>
                <w:color w:val="A6A6A6" w:themeColor="background1" w:themeShade="A6"/>
              </w:rPr>
            </w:pPr>
            <w:r w:rsidRPr="00552CEE">
              <w:rPr>
                <w:color w:val="A6A6A6" w:themeColor="background1" w:themeShade="A6"/>
              </w:rPr>
              <w:t>0.3</w:t>
            </w:r>
          </w:p>
        </w:tc>
        <w:tc>
          <w:tcPr>
            <w:tcW w:w="1476" w:type="dxa"/>
            <w:gridSpan w:val="2"/>
          </w:tcPr>
          <w:p w14:paraId="569AD1EE" w14:textId="7F93C2B6" w:rsidR="008C276B" w:rsidRPr="00552CEE" w:rsidRDefault="008C276B" w:rsidP="008651BA">
            <w:pPr>
              <w:jc w:val="center"/>
              <w:rPr>
                <w:color w:val="A6A6A6" w:themeColor="background1" w:themeShade="A6"/>
              </w:rPr>
            </w:pPr>
            <w:r w:rsidRPr="00552CEE">
              <w:rPr>
                <w:color w:val="A6A6A6" w:themeColor="background1" w:themeShade="A6"/>
              </w:rPr>
              <w:t>1.7</w:t>
            </w:r>
          </w:p>
        </w:tc>
        <w:tc>
          <w:tcPr>
            <w:tcW w:w="1477" w:type="dxa"/>
            <w:gridSpan w:val="2"/>
          </w:tcPr>
          <w:p w14:paraId="0C747832" w14:textId="7033F45D" w:rsidR="008C276B" w:rsidRPr="00552CEE" w:rsidRDefault="008C276B" w:rsidP="008651BA">
            <w:pPr>
              <w:jc w:val="center"/>
              <w:rPr>
                <w:color w:val="A6A6A6" w:themeColor="background1" w:themeShade="A6"/>
              </w:rPr>
            </w:pPr>
            <w:r w:rsidRPr="00552CEE">
              <w:rPr>
                <w:color w:val="A6A6A6" w:themeColor="background1" w:themeShade="A6"/>
              </w:rPr>
              <w:t>3.2</w:t>
            </w:r>
          </w:p>
        </w:tc>
        <w:tc>
          <w:tcPr>
            <w:tcW w:w="1361" w:type="dxa"/>
            <w:gridSpan w:val="2"/>
          </w:tcPr>
          <w:p w14:paraId="3A0B2F53" w14:textId="77777777" w:rsidR="008C276B" w:rsidRPr="00552CEE" w:rsidRDefault="008C276B" w:rsidP="008651BA">
            <w:pPr>
              <w:jc w:val="center"/>
              <w:rPr>
                <w:color w:val="A6A6A6" w:themeColor="background1" w:themeShade="A6"/>
              </w:rPr>
            </w:pPr>
          </w:p>
        </w:tc>
      </w:tr>
      <w:tr w:rsidR="008C276B" w:rsidRPr="00552CEE" w14:paraId="14432C08" w14:textId="77777777" w:rsidTr="004E2AB3">
        <w:tc>
          <w:tcPr>
            <w:tcW w:w="3281" w:type="dxa"/>
            <w:gridSpan w:val="2"/>
            <w:vAlign w:val="bottom"/>
          </w:tcPr>
          <w:p w14:paraId="75B06485" w14:textId="77777777" w:rsidR="00625C0B" w:rsidRDefault="00625C0B" w:rsidP="00625C0B">
            <w:r>
              <w:t>Cumulative lifetime income</w:t>
            </w:r>
          </w:p>
          <w:p w14:paraId="0A4CAC00" w14:textId="0B0D4B70" w:rsidR="008C276B" w:rsidRPr="00552CEE" w:rsidRDefault="00625C0B" w:rsidP="00625C0B">
            <w:r>
              <w:t>(30 years, undiscounted)</w:t>
            </w:r>
          </w:p>
        </w:tc>
        <w:tc>
          <w:tcPr>
            <w:tcW w:w="1466" w:type="dxa"/>
            <w:gridSpan w:val="2"/>
          </w:tcPr>
          <w:p w14:paraId="3A6F3C37" w14:textId="77777777" w:rsidR="008C276B" w:rsidRPr="00552CEE" w:rsidRDefault="008C276B" w:rsidP="004E2AB3">
            <w:pPr>
              <w:jc w:val="center"/>
            </w:pPr>
          </w:p>
        </w:tc>
        <w:tc>
          <w:tcPr>
            <w:tcW w:w="1466" w:type="dxa"/>
            <w:gridSpan w:val="2"/>
          </w:tcPr>
          <w:p w14:paraId="5865D701" w14:textId="77777777" w:rsidR="008C276B" w:rsidRPr="00552CEE" w:rsidRDefault="008C276B" w:rsidP="004E2AB3">
            <w:pPr>
              <w:jc w:val="center"/>
              <w:rPr>
                <w:color w:val="C00000" w:themeColor="accent4"/>
              </w:rPr>
            </w:pPr>
          </w:p>
        </w:tc>
        <w:tc>
          <w:tcPr>
            <w:tcW w:w="1467" w:type="dxa"/>
            <w:gridSpan w:val="2"/>
          </w:tcPr>
          <w:p w14:paraId="55F63713" w14:textId="77777777" w:rsidR="008C276B" w:rsidRPr="00552CEE" w:rsidRDefault="008C276B" w:rsidP="004E2AB3">
            <w:pPr>
              <w:jc w:val="center"/>
            </w:pPr>
          </w:p>
        </w:tc>
        <w:tc>
          <w:tcPr>
            <w:tcW w:w="1346" w:type="dxa"/>
          </w:tcPr>
          <w:p w14:paraId="61ABBB74" w14:textId="79F49A3E" w:rsidR="008C276B" w:rsidRPr="00552CEE" w:rsidRDefault="008C276B" w:rsidP="004E2AB3">
            <w:pPr>
              <w:jc w:val="center"/>
            </w:pPr>
            <w:r>
              <w:t>2</w:t>
            </w:r>
            <w:r>
              <w:t>4</w:t>
            </w:r>
            <w:r w:rsidR="00625C0B">
              <w:t>.0</w:t>
            </w:r>
          </w:p>
        </w:tc>
      </w:tr>
    </w:tbl>
    <w:p w14:paraId="3318C8D1" w14:textId="77777777" w:rsidR="00A44126" w:rsidRPr="00552CEE" w:rsidRDefault="00A44126" w:rsidP="003431E7"/>
    <w:p w14:paraId="1659F285" w14:textId="65A1BA63" w:rsidR="000023AF" w:rsidRPr="00552CEE" w:rsidRDefault="000023AF" w:rsidP="000023AF">
      <w:r w:rsidRPr="00552CEE">
        <w:t xml:space="preserve">In the </w:t>
      </w:r>
      <w:r w:rsidR="007269B5">
        <w:t xml:space="preserve">balance sheet </w:t>
      </w:r>
      <w:r w:rsidR="00C956C9" w:rsidRPr="00552CEE">
        <w:t>ownership model</w:t>
      </w:r>
      <w:r w:rsidRPr="00552CEE">
        <w:t>, with no commercial debt at the project level, the change relative to the base case is modest. Final income to the SO Company remains positive during the CfD period and after the end of the public sector loan, but is slightly more negative during the five-year period between the end of the CfD and the end of the public sector loan.</w:t>
      </w:r>
    </w:p>
    <w:p w14:paraId="13B9A26C" w14:textId="77777777" w:rsidR="000023AF" w:rsidRPr="00552CEE" w:rsidRDefault="000023AF" w:rsidP="000023AF">
      <w:r w:rsidRPr="00552CEE">
        <w:t>The increased volatility associated with the project finance joint venture is clear. The SO Company is unable to service the public sector loan during the period when commercial debt is being repaid, leaving it with a negative final income throughout the first 15 years of the project.</w:t>
      </w:r>
    </w:p>
    <w:p w14:paraId="7786C084" w14:textId="77777777" w:rsidR="00C6663A" w:rsidRPr="00552CEE" w:rsidRDefault="00C6663A" w:rsidP="003431E7">
      <w:pPr>
        <w:sectPr w:rsidR="00C6663A" w:rsidRPr="00552CEE" w:rsidSect="00023C60">
          <w:pgSz w:w="11906" w:h="16838"/>
          <w:pgMar w:top="1135" w:right="1440" w:bottom="851" w:left="1440" w:header="708" w:footer="708" w:gutter="0"/>
          <w:cols w:space="708"/>
          <w:docGrid w:linePitch="360"/>
        </w:sectPr>
      </w:pPr>
    </w:p>
    <w:p w14:paraId="2F564643" w14:textId="7318FCAC" w:rsidR="007D76E1" w:rsidRPr="00552CEE" w:rsidRDefault="007D76E1" w:rsidP="007D76E1">
      <w:pPr>
        <w:pStyle w:val="Heading3"/>
      </w:pPr>
      <w:r w:rsidRPr="00552CEE">
        <w:lastRenderedPageBreak/>
        <w:t>High TNUoS</w:t>
      </w:r>
    </w:p>
    <w:p w14:paraId="6045FB43" w14:textId="695CE36F" w:rsidR="0097306C" w:rsidRPr="00552CEE" w:rsidRDefault="0097306C" w:rsidP="0097306C">
      <w:r w:rsidRPr="00552CEE">
        <w:t>This sensitivity models the same project located in a higher TNUoS zone than the base case. It uses TNUoS Zone 1, North Scotland, which is the most expensive TNUoS zone and covers mainland Scotland from approximately Inverness northwards. It also includes the Western Isles, Orkney and Shetland.</w:t>
      </w:r>
    </w:p>
    <w:p w14:paraId="5E21A185" w14:textId="15E68C1D" w:rsidR="0097306C" w:rsidRPr="00552CEE" w:rsidRDefault="0097306C" w:rsidP="0097306C">
      <w:r w:rsidRPr="00552CEE">
        <w:t xml:space="preserve">Unlike the other sensitivities, this scenario represents a fundamentally different project, as the higher TNUoS charges would be known and reflected in the project valuation at the point of investment. The increase in TNUoS, as an operational cost, reduces the overall value of the project. As a result, in the </w:t>
      </w:r>
      <w:r w:rsidR="007269B5">
        <w:t xml:space="preserve">balance sheet </w:t>
      </w:r>
      <w:r w:rsidRPr="00552CEE">
        <w:t xml:space="preserve">ownership case the value of a 1% stake falls from £31 million to £27 million, and in the project finance ownership model the value of a 2% stake falls </w:t>
      </w:r>
      <w:r w:rsidR="0058682E" w:rsidRPr="00552CEE">
        <w:t xml:space="preserve">significantly </w:t>
      </w:r>
      <w:r w:rsidRPr="00552CEE">
        <w:t>from £</w:t>
      </w:r>
      <w:r w:rsidR="00851586" w:rsidRPr="00552CEE">
        <w:t>25</w:t>
      </w:r>
      <w:r w:rsidRPr="00552CEE">
        <w:t xml:space="preserve"> million to £</w:t>
      </w:r>
      <w:r w:rsidR="00851586" w:rsidRPr="00552CEE">
        <w:t>16</w:t>
      </w:r>
      <w:r w:rsidRPr="00552CEE">
        <w:t xml:space="preserve"> million.</w:t>
      </w:r>
      <w:r w:rsidR="0058682E" w:rsidRPr="00552CEE">
        <w:t xml:space="preserve"> </w:t>
      </w:r>
    </w:p>
    <w:p w14:paraId="18879970" w14:textId="1D4B7E1B" w:rsidR="00B47C91" w:rsidRPr="00552CEE" w:rsidRDefault="0097306C" w:rsidP="0097306C">
      <w:r w:rsidRPr="00552CEE">
        <w:t>The results below reflect this lower valuation and the corresponding impact on the public sector loan. The project finance ownership model also incorporates a commensurate reduction in commercial debt</w:t>
      </w:r>
      <w:r w:rsidR="00E8513B" w:rsidRPr="00552CEE">
        <w:t xml:space="preserve">. </w:t>
      </w:r>
    </w:p>
    <w:p w14:paraId="1C404F2C" w14:textId="22FF80F7" w:rsidR="00025C38" w:rsidRPr="00552CEE" w:rsidRDefault="00025C38" w:rsidP="00025C38">
      <w:pPr>
        <w:pStyle w:val="Caption"/>
        <w:keepNext/>
        <w:jc w:val="center"/>
      </w:pPr>
      <w:r w:rsidRPr="00552CEE">
        <w:t xml:space="preserve">Table </w:t>
      </w:r>
      <w:fldSimple w:instr=" SEQ Table \* ARABIC ">
        <w:r w:rsidR="00BA359F">
          <w:rPr>
            <w:noProof/>
          </w:rPr>
          <w:t>8</w:t>
        </w:r>
      </w:fldSimple>
      <w:r w:rsidRPr="00552CEE">
        <w:t xml:space="preserve">: Cash flow waterfall for 1% equity stake in commercial balance sheet project under </w:t>
      </w:r>
      <w:r w:rsidR="00455B86" w:rsidRPr="00552CEE">
        <w:t>the high TNUoS sensitivity</w:t>
      </w:r>
      <w:r w:rsidRPr="00552CEE">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6"/>
        <w:gridCol w:w="45"/>
        <w:gridCol w:w="1431"/>
        <w:gridCol w:w="35"/>
        <w:gridCol w:w="1441"/>
        <w:gridCol w:w="25"/>
        <w:gridCol w:w="1452"/>
        <w:gridCol w:w="15"/>
        <w:gridCol w:w="1346"/>
      </w:tblGrid>
      <w:tr w:rsidR="008C276B" w:rsidRPr="00552CEE" w14:paraId="7C346E9A" w14:textId="76DF8DDA" w:rsidTr="008C276B">
        <w:tc>
          <w:tcPr>
            <w:tcW w:w="3236" w:type="dxa"/>
            <w:shd w:val="clear" w:color="auto" w:fill="D0CECE" w:themeFill="background2" w:themeFillShade="E6"/>
          </w:tcPr>
          <w:p w14:paraId="6A29FD8F" w14:textId="77777777" w:rsidR="008C276B" w:rsidRPr="00552CEE" w:rsidRDefault="008C276B" w:rsidP="00995EE5">
            <w:pPr>
              <w:rPr>
                <w:i/>
                <w:iCs/>
              </w:rPr>
            </w:pPr>
            <w:r w:rsidRPr="00552CEE">
              <w:rPr>
                <w:i/>
                <w:iCs/>
                <w:sz w:val="20"/>
                <w:szCs w:val="20"/>
              </w:rPr>
              <w:t>Values in £million (2025, real, undiscounted)</w:t>
            </w:r>
          </w:p>
        </w:tc>
        <w:tc>
          <w:tcPr>
            <w:tcW w:w="1476" w:type="dxa"/>
            <w:gridSpan w:val="2"/>
            <w:shd w:val="clear" w:color="auto" w:fill="D0CECE" w:themeFill="background2" w:themeFillShade="E6"/>
          </w:tcPr>
          <w:p w14:paraId="67F14817" w14:textId="77777777" w:rsidR="008C276B" w:rsidRPr="00552CEE" w:rsidRDefault="008C276B" w:rsidP="00995EE5">
            <w:pPr>
              <w:jc w:val="center"/>
            </w:pPr>
            <w:r w:rsidRPr="00552CEE">
              <w:t>2030</w:t>
            </w:r>
          </w:p>
        </w:tc>
        <w:tc>
          <w:tcPr>
            <w:tcW w:w="1476" w:type="dxa"/>
            <w:gridSpan w:val="2"/>
            <w:shd w:val="clear" w:color="auto" w:fill="D0CECE" w:themeFill="background2" w:themeFillShade="E6"/>
          </w:tcPr>
          <w:p w14:paraId="2E677ED6" w14:textId="77777777" w:rsidR="008C276B" w:rsidRPr="00552CEE" w:rsidRDefault="008C276B" w:rsidP="00995EE5">
            <w:pPr>
              <w:jc w:val="center"/>
            </w:pPr>
            <w:r w:rsidRPr="00552CEE">
              <w:t>2043</w:t>
            </w:r>
          </w:p>
        </w:tc>
        <w:tc>
          <w:tcPr>
            <w:tcW w:w="1477" w:type="dxa"/>
            <w:gridSpan w:val="2"/>
            <w:shd w:val="clear" w:color="auto" w:fill="D0CECE" w:themeFill="background2" w:themeFillShade="E6"/>
          </w:tcPr>
          <w:p w14:paraId="5379A179" w14:textId="77777777" w:rsidR="008C276B" w:rsidRPr="00552CEE" w:rsidRDefault="008C276B" w:rsidP="00995EE5">
            <w:pPr>
              <w:jc w:val="center"/>
            </w:pPr>
            <w:r w:rsidRPr="00552CEE">
              <w:t>2048</w:t>
            </w:r>
          </w:p>
        </w:tc>
        <w:tc>
          <w:tcPr>
            <w:tcW w:w="1361" w:type="dxa"/>
            <w:gridSpan w:val="2"/>
            <w:shd w:val="clear" w:color="auto" w:fill="D0CECE" w:themeFill="background2" w:themeFillShade="E6"/>
          </w:tcPr>
          <w:p w14:paraId="7951CC1E" w14:textId="1DAF996B" w:rsidR="008C276B" w:rsidRPr="00552CEE" w:rsidRDefault="00625C0B" w:rsidP="00995EE5">
            <w:pPr>
              <w:jc w:val="center"/>
            </w:pPr>
            <w:r>
              <w:t>2028-58</w:t>
            </w:r>
          </w:p>
        </w:tc>
      </w:tr>
      <w:tr w:rsidR="008C276B" w:rsidRPr="00552CEE" w14:paraId="29C12A56" w14:textId="521098B4" w:rsidTr="008C276B">
        <w:tc>
          <w:tcPr>
            <w:tcW w:w="3236" w:type="dxa"/>
          </w:tcPr>
          <w:p w14:paraId="02840D60" w14:textId="61AD2EE8" w:rsidR="008C276B" w:rsidRPr="00552CEE" w:rsidRDefault="008C276B" w:rsidP="00995EE5">
            <w:r w:rsidRPr="00552CEE">
              <w:t xml:space="preserve">Upfront stake: £27million </w:t>
            </w:r>
          </w:p>
          <w:p w14:paraId="1F01C011" w14:textId="77777777" w:rsidR="008C276B" w:rsidRPr="00552CEE" w:rsidRDefault="008C276B" w:rsidP="00995EE5">
            <w:r w:rsidRPr="00552CEE">
              <w:t>(1% of project)</w:t>
            </w:r>
          </w:p>
        </w:tc>
        <w:tc>
          <w:tcPr>
            <w:tcW w:w="1476" w:type="dxa"/>
            <w:gridSpan w:val="2"/>
          </w:tcPr>
          <w:p w14:paraId="21321BC1" w14:textId="77777777" w:rsidR="008C276B" w:rsidRPr="00552CEE" w:rsidRDefault="008C276B" w:rsidP="00995EE5">
            <w:pPr>
              <w:jc w:val="center"/>
            </w:pPr>
          </w:p>
        </w:tc>
        <w:tc>
          <w:tcPr>
            <w:tcW w:w="1476" w:type="dxa"/>
            <w:gridSpan w:val="2"/>
          </w:tcPr>
          <w:p w14:paraId="1A5F81D9" w14:textId="77777777" w:rsidR="008C276B" w:rsidRPr="00552CEE" w:rsidRDefault="008C276B" w:rsidP="00995EE5">
            <w:pPr>
              <w:jc w:val="center"/>
            </w:pPr>
          </w:p>
        </w:tc>
        <w:tc>
          <w:tcPr>
            <w:tcW w:w="1477" w:type="dxa"/>
            <w:gridSpan w:val="2"/>
          </w:tcPr>
          <w:p w14:paraId="5D05274A" w14:textId="77777777" w:rsidR="008C276B" w:rsidRPr="00552CEE" w:rsidRDefault="008C276B" w:rsidP="00995EE5">
            <w:pPr>
              <w:jc w:val="center"/>
            </w:pPr>
          </w:p>
        </w:tc>
        <w:tc>
          <w:tcPr>
            <w:tcW w:w="1361" w:type="dxa"/>
            <w:gridSpan w:val="2"/>
          </w:tcPr>
          <w:p w14:paraId="61BF0A54" w14:textId="77777777" w:rsidR="008C276B" w:rsidRPr="00552CEE" w:rsidRDefault="008C276B" w:rsidP="00995EE5">
            <w:pPr>
              <w:jc w:val="center"/>
            </w:pPr>
          </w:p>
        </w:tc>
      </w:tr>
      <w:tr w:rsidR="008C276B" w:rsidRPr="00552CEE" w14:paraId="4C2451E6" w14:textId="78FC29A7" w:rsidTr="008C276B">
        <w:tc>
          <w:tcPr>
            <w:tcW w:w="3236" w:type="dxa"/>
            <w:vAlign w:val="bottom"/>
          </w:tcPr>
          <w:p w14:paraId="7281E0A8" w14:textId="77777777" w:rsidR="008C276B" w:rsidRPr="00552CEE" w:rsidRDefault="008C276B" w:rsidP="00F970F9">
            <w:r w:rsidRPr="00552CEE">
              <w:t>Revenue</w:t>
            </w:r>
          </w:p>
        </w:tc>
        <w:tc>
          <w:tcPr>
            <w:tcW w:w="1476" w:type="dxa"/>
            <w:gridSpan w:val="2"/>
          </w:tcPr>
          <w:p w14:paraId="7B948ECE" w14:textId="7D8FD64B" w:rsidR="008C276B" w:rsidRPr="00552CEE" w:rsidRDefault="008C276B" w:rsidP="00F970F9">
            <w:pPr>
              <w:jc w:val="center"/>
            </w:pPr>
            <w:r w:rsidRPr="00552CEE">
              <w:t>3.8</w:t>
            </w:r>
          </w:p>
        </w:tc>
        <w:tc>
          <w:tcPr>
            <w:tcW w:w="1476" w:type="dxa"/>
            <w:gridSpan w:val="2"/>
          </w:tcPr>
          <w:p w14:paraId="0D3765C2" w14:textId="7E90A961" w:rsidR="008C276B" w:rsidRPr="00552CEE" w:rsidRDefault="008C276B" w:rsidP="00F970F9">
            <w:pPr>
              <w:jc w:val="center"/>
            </w:pPr>
            <w:r w:rsidRPr="00552CEE">
              <w:t>2.4</w:t>
            </w:r>
          </w:p>
        </w:tc>
        <w:tc>
          <w:tcPr>
            <w:tcW w:w="1477" w:type="dxa"/>
            <w:gridSpan w:val="2"/>
          </w:tcPr>
          <w:p w14:paraId="21476CC4" w14:textId="4F5DC4E5" w:rsidR="008C276B" w:rsidRPr="00552CEE" w:rsidRDefault="008C276B" w:rsidP="00F970F9">
            <w:pPr>
              <w:jc w:val="center"/>
            </w:pPr>
            <w:r w:rsidRPr="00552CEE">
              <w:t>2.4</w:t>
            </w:r>
          </w:p>
        </w:tc>
        <w:tc>
          <w:tcPr>
            <w:tcW w:w="1361" w:type="dxa"/>
            <w:gridSpan w:val="2"/>
          </w:tcPr>
          <w:p w14:paraId="7CD6F682" w14:textId="77777777" w:rsidR="008C276B" w:rsidRPr="00552CEE" w:rsidRDefault="008C276B" w:rsidP="00F970F9">
            <w:pPr>
              <w:jc w:val="center"/>
            </w:pPr>
          </w:p>
        </w:tc>
      </w:tr>
      <w:tr w:rsidR="008C276B" w:rsidRPr="00552CEE" w14:paraId="5631D111" w14:textId="5DBBC965" w:rsidTr="008C276B">
        <w:tc>
          <w:tcPr>
            <w:tcW w:w="3236" w:type="dxa"/>
            <w:vAlign w:val="bottom"/>
          </w:tcPr>
          <w:p w14:paraId="2866D553" w14:textId="77777777" w:rsidR="008C276B" w:rsidRPr="00552CEE" w:rsidRDefault="008C276B" w:rsidP="009B4A74">
            <w:r w:rsidRPr="00552CEE">
              <w:t>Operating Costs</w:t>
            </w:r>
          </w:p>
        </w:tc>
        <w:tc>
          <w:tcPr>
            <w:tcW w:w="1476" w:type="dxa"/>
            <w:gridSpan w:val="2"/>
          </w:tcPr>
          <w:p w14:paraId="0C1292CB" w14:textId="44D58E85" w:rsidR="008C276B" w:rsidRPr="00552CEE" w:rsidRDefault="008C276B" w:rsidP="009B4A74">
            <w:pPr>
              <w:jc w:val="center"/>
            </w:pPr>
            <w:r w:rsidRPr="00552CEE">
              <w:t>1.3</w:t>
            </w:r>
          </w:p>
        </w:tc>
        <w:tc>
          <w:tcPr>
            <w:tcW w:w="1476" w:type="dxa"/>
            <w:gridSpan w:val="2"/>
          </w:tcPr>
          <w:p w14:paraId="3F962DB8" w14:textId="7D27DF70" w:rsidR="008C276B" w:rsidRPr="00552CEE" w:rsidRDefault="008C276B" w:rsidP="009B4A74">
            <w:pPr>
              <w:jc w:val="center"/>
            </w:pPr>
            <w:r w:rsidRPr="00552CEE">
              <w:t>1.2</w:t>
            </w:r>
          </w:p>
        </w:tc>
        <w:tc>
          <w:tcPr>
            <w:tcW w:w="1477" w:type="dxa"/>
            <w:gridSpan w:val="2"/>
          </w:tcPr>
          <w:p w14:paraId="7F64B99E" w14:textId="761A7624" w:rsidR="008C276B" w:rsidRPr="00552CEE" w:rsidRDefault="008C276B" w:rsidP="009B4A74">
            <w:pPr>
              <w:jc w:val="center"/>
            </w:pPr>
            <w:r w:rsidRPr="00552CEE">
              <w:t>1.2</w:t>
            </w:r>
          </w:p>
        </w:tc>
        <w:tc>
          <w:tcPr>
            <w:tcW w:w="1361" w:type="dxa"/>
            <w:gridSpan w:val="2"/>
          </w:tcPr>
          <w:p w14:paraId="0829FE63" w14:textId="77777777" w:rsidR="008C276B" w:rsidRPr="00552CEE" w:rsidRDefault="008C276B" w:rsidP="009B4A74">
            <w:pPr>
              <w:jc w:val="center"/>
            </w:pPr>
          </w:p>
        </w:tc>
      </w:tr>
      <w:tr w:rsidR="008C276B" w:rsidRPr="00552CEE" w14:paraId="43C784D6" w14:textId="4E10D582" w:rsidTr="008C276B">
        <w:tc>
          <w:tcPr>
            <w:tcW w:w="3236" w:type="dxa"/>
            <w:vAlign w:val="bottom"/>
          </w:tcPr>
          <w:p w14:paraId="502E5DF4" w14:textId="77777777" w:rsidR="008C276B" w:rsidRPr="00552CEE" w:rsidRDefault="008C276B" w:rsidP="009B4A74">
            <w:pPr>
              <w:rPr>
                <w:color w:val="BFBFBF" w:themeColor="background1" w:themeShade="BF"/>
              </w:rPr>
            </w:pPr>
            <w:r w:rsidRPr="00552CEE">
              <w:rPr>
                <w:color w:val="BFBFBF" w:themeColor="background1" w:themeShade="BF"/>
              </w:rPr>
              <w:t>Commercial debt servicing</w:t>
            </w:r>
          </w:p>
        </w:tc>
        <w:tc>
          <w:tcPr>
            <w:tcW w:w="1476" w:type="dxa"/>
            <w:gridSpan w:val="2"/>
          </w:tcPr>
          <w:p w14:paraId="1DD73F3F" w14:textId="77B4C967" w:rsidR="008C276B" w:rsidRPr="00226588" w:rsidRDefault="008C276B" w:rsidP="009B4A74">
            <w:pPr>
              <w:jc w:val="center"/>
              <w:rPr>
                <w:color w:val="AEAAAA" w:themeColor="background2" w:themeShade="BF"/>
              </w:rPr>
            </w:pPr>
            <w:r w:rsidRPr="00226588">
              <w:rPr>
                <w:color w:val="AEAAAA" w:themeColor="background2" w:themeShade="BF"/>
              </w:rPr>
              <w:t>0.0</w:t>
            </w:r>
          </w:p>
        </w:tc>
        <w:tc>
          <w:tcPr>
            <w:tcW w:w="1476" w:type="dxa"/>
            <w:gridSpan w:val="2"/>
          </w:tcPr>
          <w:p w14:paraId="65A2130D" w14:textId="18809290" w:rsidR="008C276B" w:rsidRPr="00226588" w:rsidRDefault="008C276B" w:rsidP="009B4A74">
            <w:pPr>
              <w:jc w:val="center"/>
              <w:rPr>
                <w:color w:val="AEAAAA" w:themeColor="background2" w:themeShade="BF"/>
              </w:rPr>
            </w:pPr>
            <w:r w:rsidRPr="00226588">
              <w:rPr>
                <w:color w:val="AEAAAA" w:themeColor="background2" w:themeShade="BF"/>
              </w:rPr>
              <w:t>0.0</w:t>
            </w:r>
          </w:p>
        </w:tc>
        <w:tc>
          <w:tcPr>
            <w:tcW w:w="1477" w:type="dxa"/>
            <w:gridSpan w:val="2"/>
          </w:tcPr>
          <w:p w14:paraId="15C1B849" w14:textId="27DF1646" w:rsidR="008C276B" w:rsidRPr="00226588" w:rsidRDefault="008C276B" w:rsidP="009B4A74">
            <w:pPr>
              <w:jc w:val="center"/>
              <w:rPr>
                <w:color w:val="AEAAAA" w:themeColor="background2" w:themeShade="BF"/>
              </w:rPr>
            </w:pPr>
            <w:r w:rsidRPr="00226588">
              <w:rPr>
                <w:color w:val="AEAAAA" w:themeColor="background2" w:themeShade="BF"/>
              </w:rPr>
              <w:t>0.0</w:t>
            </w:r>
          </w:p>
        </w:tc>
        <w:tc>
          <w:tcPr>
            <w:tcW w:w="1361" w:type="dxa"/>
            <w:gridSpan w:val="2"/>
          </w:tcPr>
          <w:p w14:paraId="76DBC93F" w14:textId="77777777" w:rsidR="008C276B" w:rsidRPr="00226588" w:rsidRDefault="008C276B" w:rsidP="009B4A74">
            <w:pPr>
              <w:jc w:val="center"/>
              <w:rPr>
                <w:color w:val="AEAAAA" w:themeColor="background2" w:themeShade="BF"/>
              </w:rPr>
            </w:pPr>
          </w:p>
        </w:tc>
      </w:tr>
      <w:tr w:rsidR="008C276B" w:rsidRPr="00552CEE" w14:paraId="018DDB0B" w14:textId="68C45ABD" w:rsidTr="008C276B">
        <w:tc>
          <w:tcPr>
            <w:tcW w:w="3236" w:type="dxa"/>
            <w:vAlign w:val="bottom"/>
          </w:tcPr>
          <w:p w14:paraId="583FE80C" w14:textId="77777777" w:rsidR="008C276B" w:rsidRPr="00552CEE" w:rsidRDefault="008C276B" w:rsidP="009B4A74">
            <w:r w:rsidRPr="00552CEE">
              <w:t>Cash flow from project to SO</w:t>
            </w:r>
          </w:p>
        </w:tc>
        <w:tc>
          <w:tcPr>
            <w:tcW w:w="1476" w:type="dxa"/>
            <w:gridSpan w:val="2"/>
          </w:tcPr>
          <w:p w14:paraId="26B5FA30" w14:textId="54A88C53" w:rsidR="008C276B" w:rsidRPr="00552CEE" w:rsidRDefault="008C276B" w:rsidP="009B4A74">
            <w:pPr>
              <w:jc w:val="center"/>
            </w:pPr>
            <w:r w:rsidRPr="00552CEE">
              <w:t>2.5</w:t>
            </w:r>
          </w:p>
        </w:tc>
        <w:tc>
          <w:tcPr>
            <w:tcW w:w="1476" w:type="dxa"/>
            <w:gridSpan w:val="2"/>
          </w:tcPr>
          <w:p w14:paraId="2E4BD782" w14:textId="10B389E5" w:rsidR="008C276B" w:rsidRPr="00552CEE" w:rsidRDefault="008C276B" w:rsidP="009B4A74">
            <w:pPr>
              <w:jc w:val="center"/>
            </w:pPr>
            <w:r w:rsidRPr="00552CEE">
              <w:t>1.3</w:t>
            </w:r>
          </w:p>
        </w:tc>
        <w:tc>
          <w:tcPr>
            <w:tcW w:w="1477" w:type="dxa"/>
            <w:gridSpan w:val="2"/>
          </w:tcPr>
          <w:p w14:paraId="2E97686D" w14:textId="58A057C1" w:rsidR="008C276B" w:rsidRPr="00552CEE" w:rsidRDefault="008C276B" w:rsidP="009B4A74">
            <w:pPr>
              <w:jc w:val="center"/>
            </w:pPr>
            <w:r w:rsidRPr="00552CEE">
              <w:t>1.3</w:t>
            </w:r>
          </w:p>
        </w:tc>
        <w:tc>
          <w:tcPr>
            <w:tcW w:w="1361" w:type="dxa"/>
            <w:gridSpan w:val="2"/>
          </w:tcPr>
          <w:p w14:paraId="4FD9F161" w14:textId="77777777" w:rsidR="008C276B" w:rsidRPr="00552CEE" w:rsidRDefault="008C276B" w:rsidP="009B4A74">
            <w:pPr>
              <w:jc w:val="center"/>
            </w:pPr>
          </w:p>
        </w:tc>
      </w:tr>
      <w:tr w:rsidR="008C276B" w:rsidRPr="00552CEE" w14:paraId="6650836C" w14:textId="770E0594" w:rsidTr="008C276B">
        <w:tc>
          <w:tcPr>
            <w:tcW w:w="3236" w:type="dxa"/>
            <w:vAlign w:val="bottom"/>
          </w:tcPr>
          <w:p w14:paraId="3A18E660" w14:textId="77777777" w:rsidR="008C276B" w:rsidRPr="00552CEE" w:rsidRDefault="008C276B" w:rsidP="009B4A74">
            <w:r w:rsidRPr="00552CEE">
              <w:t>Public Sector loan servicing</w:t>
            </w:r>
          </w:p>
        </w:tc>
        <w:tc>
          <w:tcPr>
            <w:tcW w:w="1476" w:type="dxa"/>
            <w:gridSpan w:val="2"/>
          </w:tcPr>
          <w:p w14:paraId="684ABF40" w14:textId="0CEBF49B" w:rsidR="008C276B" w:rsidRPr="00552CEE" w:rsidRDefault="008C276B" w:rsidP="009B4A74">
            <w:pPr>
              <w:jc w:val="center"/>
            </w:pPr>
            <w:r w:rsidRPr="00552CEE">
              <w:t>1.6</w:t>
            </w:r>
          </w:p>
        </w:tc>
        <w:tc>
          <w:tcPr>
            <w:tcW w:w="1476" w:type="dxa"/>
            <w:gridSpan w:val="2"/>
          </w:tcPr>
          <w:p w14:paraId="1697DF68" w14:textId="3441F5DC" w:rsidR="008C276B" w:rsidRPr="00552CEE" w:rsidRDefault="008C276B" w:rsidP="009B4A74">
            <w:pPr>
              <w:jc w:val="center"/>
            </w:pPr>
            <w:r w:rsidRPr="00552CEE">
              <w:t>1.6</w:t>
            </w:r>
          </w:p>
        </w:tc>
        <w:tc>
          <w:tcPr>
            <w:tcW w:w="1477" w:type="dxa"/>
            <w:gridSpan w:val="2"/>
          </w:tcPr>
          <w:p w14:paraId="5B62547F" w14:textId="4BEF9AFA" w:rsidR="008C276B" w:rsidRPr="00552CEE" w:rsidRDefault="008C276B" w:rsidP="009B4A74">
            <w:pPr>
              <w:jc w:val="center"/>
            </w:pPr>
            <w:r w:rsidRPr="00552CEE">
              <w:t>0.0</w:t>
            </w:r>
          </w:p>
        </w:tc>
        <w:tc>
          <w:tcPr>
            <w:tcW w:w="1361" w:type="dxa"/>
            <w:gridSpan w:val="2"/>
          </w:tcPr>
          <w:p w14:paraId="6FF8FBD1" w14:textId="77777777" w:rsidR="008C276B" w:rsidRPr="00552CEE" w:rsidRDefault="008C276B" w:rsidP="009B4A74">
            <w:pPr>
              <w:jc w:val="center"/>
            </w:pPr>
          </w:p>
        </w:tc>
      </w:tr>
      <w:tr w:rsidR="008C276B" w:rsidRPr="00552CEE" w14:paraId="0F96ABAF" w14:textId="3DE18746" w:rsidTr="008C276B">
        <w:tc>
          <w:tcPr>
            <w:tcW w:w="3236" w:type="dxa"/>
            <w:vAlign w:val="bottom"/>
          </w:tcPr>
          <w:p w14:paraId="39CEA6AB" w14:textId="77777777" w:rsidR="008C276B" w:rsidRPr="00552CEE" w:rsidRDefault="008C276B" w:rsidP="009B4A74">
            <w:r w:rsidRPr="00552CEE">
              <w:t>Final SO income</w:t>
            </w:r>
          </w:p>
        </w:tc>
        <w:tc>
          <w:tcPr>
            <w:tcW w:w="1476" w:type="dxa"/>
            <w:gridSpan w:val="2"/>
          </w:tcPr>
          <w:p w14:paraId="47DCBF31" w14:textId="60300745" w:rsidR="008C276B" w:rsidRPr="00552CEE" w:rsidRDefault="008C276B" w:rsidP="009B4A74">
            <w:pPr>
              <w:jc w:val="center"/>
            </w:pPr>
            <w:r w:rsidRPr="00552CEE">
              <w:t>0.9</w:t>
            </w:r>
          </w:p>
        </w:tc>
        <w:tc>
          <w:tcPr>
            <w:tcW w:w="1476" w:type="dxa"/>
            <w:gridSpan w:val="2"/>
          </w:tcPr>
          <w:p w14:paraId="7A9FA92B" w14:textId="18E43636" w:rsidR="008C276B" w:rsidRPr="00552CEE" w:rsidRDefault="008C276B" w:rsidP="009B4A74">
            <w:pPr>
              <w:jc w:val="center"/>
            </w:pPr>
            <w:r w:rsidRPr="00552CEE">
              <w:rPr>
                <w:color w:val="C00000" w:themeColor="accent4"/>
              </w:rPr>
              <w:t>-0.4</w:t>
            </w:r>
          </w:p>
        </w:tc>
        <w:tc>
          <w:tcPr>
            <w:tcW w:w="1477" w:type="dxa"/>
            <w:gridSpan w:val="2"/>
          </w:tcPr>
          <w:p w14:paraId="5A29C5D0" w14:textId="5D10DE3F" w:rsidR="008C276B" w:rsidRPr="00552CEE" w:rsidRDefault="008C276B" w:rsidP="009B4A74">
            <w:pPr>
              <w:jc w:val="center"/>
            </w:pPr>
            <w:r w:rsidRPr="00552CEE">
              <w:t>1.3</w:t>
            </w:r>
          </w:p>
        </w:tc>
        <w:tc>
          <w:tcPr>
            <w:tcW w:w="1361" w:type="dxa"/>
            <w:gridSpan w:val="2"/>
          </w:tcPr>
          <w:p w14:paraId="100F5622" w14:textId="77777777" w:rsidR="008C276B" w:rsidRPr="00552CEE" w:rsidRDefault="008C276B" w:rsidP="009B4A74">
            <w:pPr>
              <w:jc w:val="center"/>
            </w:pPr>
          </w:p>
        </w:tc>
      </w:tr>
      <w:tr w:rsidR="008C276B" w:rsidRPr="00552CEE" w14:paraId="60C9AF94" w14:textId="376817B1" w:rsidTr="008C276B">
        <w:tc>
          <w:tcPr>
            <w:tcW w:w="3236" w:type="dxa"/>
            <w:vAlign w:val="bottom"/>
          </w:tcPr>
          <w:p w14:paraId="1C926767" w14:textId="3B84A55E" w:rsidR="008C276B" w:rsidRPr="00552CEE" w:rsidRDefault="008C276B" w:rsidP="00961745">
            <w:pPr>
              <w:rPr>
                <w:color w:val="AEAAAA" w:themeColor="background2" w:themeShade="BF"/>
              </w:rPr>
            </w:pPr>
            <w:r w:rsidRPr="00552CEE">
              <w:rPr>
                <w:color w:val="AEAAAA" w:themeColor="background2" w:themeShade="BF"/>
              </w:rPr>
              <w:t xml:space="preserve">Basecase final SO income </w:t>
            </w:r>
          </w:p>
        </w:tc>
        <w:tc>
          <w:tcPr>
            <w:tcW w:w="1476" w:type="dxa"/>
            <w:gridSpan w:val="2"/>
          </w:tcPr>
          <w:p w14:paraId="37959636" w14:textId="2352273B" w:rsidR="008C276B" w:rsidRPr="00552CEE" w:rsidRDefault="008C276B" w:rsidP="00961745">
            <w:pPr>
              <w:jc w:val="center"/>
              <w:rPr>
                <w:color w:val="AEAAAA" w:themeColor="background2" w:themeShade="BF"/>
              </w:rPr>
            </w:pPr>
            <w:r w:rsidRPr="00552CEE">
              <w:rPr>
                <w:color w:val="AEAAAA" w:themeColor="background2" w:themeShade="BF"/>
              </w:rPr>
              <w:t>1.1</w:t>
            </w:r>
          </w:p>
        </w:tc>
        <w:tc>
          <w:tcPr>
            <w:tcW w:w="1476" w:type="dxa"/>
            <w:gridSpan w:val="2"/>
          </w:tcPr>
          <w:p w14:paraId="00B06D83" w14:textId="1FC1DDB5" w:rsidR="008C276B" w:rsidRPr="00552CEE" w:rsidRDefault="008C276B" w:rsidP="00961745">
            <w:pPr>
              <w:jc w:val="center"/>
              <w:rPr>
                <w:color w:val="AEAAAA" w:themeColor="background2" w:themeShade="BF"/>
              </w:rPr>
            </w:pPr>
            <w:r w:rsidRPr="00552CEE">
              <w:rPr>
                <w:color w:val="AEAAAA" w:themeColor="background2" w:themeShade="BF"/>
              </w:rPr>
              <w:t>-0.3</w:t>
            </w:r>
          </w:p>
        </w:tc>
        <w:tc>
          <w:tcPr>
            <w:tcW w:w="1477" w:type="dxa"/>
            <w:gridSpan w:val="2"/>
          </w:tcPr>
          <w:p w14:paraId="0B65F08B" w14:textId="5607E08B" w:rsidR="008C276B" w:rsidRPr="00552CEE" w:rsidRDefault="008C276B" w:rsidP="00961745">
            <w:pPr>
              <w:jc w:val="center"/>
              <w:rPr>
                <w:color w:val="AEAAAA" w:themeColor="background2" w:themeShade="BF"/>
              </w:rPr>
            </w:pPr>
            <w:r w:rsidRPr="00552CEE">
              <w:rPr>
                <w:color w:val="AEAAAA" w:themeColor="background2" w:themeShade="BF"/>
              </w:rPr>
              <w:t>1.6</w:t>
            </w:r>
          </w:p>
        </w:tc>
        <w:tc>
          <w:tcPr>
            <w:tcW w:w="1361" w:type="dxa"/>
            <w:gridSpan w:val="2"/>
          </w:tcPr>
          <w:p w14:paraId="2F61A3C3" w14:textId="77777777" w:rsidR="008C276B" w:rsidRPr="00552CEE" w:rsidRDefault="008C276B" w:rsidP="00961745">
            <w:pPr>
              <w:jc w:val="center"/>
              <w:rPr>
                <w:color w:val="AEAAAA" w:themeColor="background2" w:themeShade="BF"/>
              </w:rPr>
            </w:pPr>
          </w:p>
        </w:tc>
      </w:tr>
      <w:tr w:rsidR="008C276B" w:rsidRPr="00552CEE" w14:paraId="497A597A" w14:textId="77777777" w:rsidTr="004E2AB3">
        <w:tc>
          <w:tcPr>
            <w:tcW w:w="3281" w:type="dxa"/>
            <w:gridSpan w:val="2"/>
            <w:vAlign w:val="bottom"/>
          </w:tcPr>
          <w:p w14:paraId="05ACFEBE" w14:textId="77777777" w:rsidR="00625C0B" w:rsidRDefault="00625C0B" w:rsidP="00625C0B">
            <w:r>
              <w:t>Cumulative lifetime income</w:t>
            </w:r>
          </w:p>
          <w:p w14:paraId="0D9EE0EE" w14:textId="58B56F6D" w:rsidR="008C276B" w:rsidRPr="00552CEE" w:rsidRDefault="00625C0B" w:rsidP="00625C0B">
            <w:r>
              <w:t>(30 years, undiscounted)</w:t>
            </w:r>
          </w:p>
        </w:tc>
        <w:tc>
          <w:tcPr>
            <w:tcW w:w="1466" w:type="dxa"/>
            <w:gridSpan w:val="2"/>
          </w:tcPr>
          <w:p w14:paraId="2327BEB0" w14:textId="77777777" w:rsidR="008C276B" w:rsidRPr="00552CEE" w:rsidRDefault="008C276B" w:rsidP="004E2AB3">
            <w:pPr>
              <w:jc w:val="center"/>
            </w:pPr>
          </w:p>
        </w:tc>
        <w:tc>
          <w:tcPr>
            <w:tcW w:w="1466" w:type="dxa"/>
            <w:gridSpan w:val="2"/>
          </w:tcPr>
          <w:p w14:paraId="46CB3091" w14:textId="77777777" w:rsidR="008C276B" w:rsidRPr="00552CEE" w:rsidRDefault="008C276B" w:rsidP="004E2AB3">
            <w:pPr>
              <w:jc w:val="center"/>
              <w:rPr>
                <w:color w:val="C00000" w:themeColor="accent4"/>
              </w:rPr>
            </w:pPr>
          </w:p>
        </w:tc>
        <w:tc>
          <w:tcPr>
            <w:tcW w:w="1467" w:type="dxa"/>
            <w:gridSpan w:val="2"/>
          </w:tcPr>
          <w:p w14:paraId="7C130137" w14:textId="77777777" w:rsidR="008C276B" w:rsidRPr="00552CEE" w:rsidRDefault="008C276B" w:rsidP="004E2AB3">
            <w:pPr>
              <w:jc w:val="center"/>
            </w:pPr>
          </w:p>
        </w:tc>
        <w:tc>
          <w:tcPr>
            <w:tcW w:w="1346" w:type="dxa"/>
          </w:tcPr>
          <w:p w14:paraId="00229352" w14:textId="642F82F6" w:rsidR="008C276B" w:rsidRPr="00552CEE" w:rsidRDefault="008C276B" w:rsidP="004E2AB3">
            <w:pPr>
              <w:jc w:val="center"/>
            </w:pPr>
            <w:r>
              <w:t>24</w:t>
            </w:r>
            <w:r>
              <w:t>.5</w:t>
            </w:r>
          </w:p>
        </w:tc>
      </w:tr>
    </w:tbl>
    <w:p w14:paraId="22451A5D" w14:textId="77777777" w:rsidR="00025C38" w:rsidRDefault="00025C38" w:rsidP="00025C38"/>
    <w:p w14:paraId="747318F0" w14:textId="77777777" w:rsidR="00625C0B" w:rsidRDefault="00625C0B" w:rsidP="00025C38"/>
    <w:p w14:paraId="100FBC38" w14:textId="77777777" w:rsidR="00625C0B" w:rsidRDefault="00625C0B" w:rsidP="00025C38"/>
    <w:p w14:paraId="117D3FEE" w14:textId="77777777" w:rsidR="00625C0B" w:rsidRDefault="00625C0B" w:rsidP="00025C38"/>
    <w:p w14:paraId="5E27C053" w14:textId="77777777" w:rsidR="00625C0B" w:rsidRDefault="00625C0B" w:rsidP="00025C38"/>
    <w:p w14:paraId="3998ADAC" w14:textId="77777777" w:rsidR="00625C0B" w:rsidRDefault="00625C0B" w:rsidP="00025C38"/>
    <w:p w14:paraId="35079305" w14:textId="77777777" w:rsidR="00625C0B" w:rsidRDefault="00625C0B" w:rsidP="00025C38"/>
    <w:p w14:paraId="57DC2604" w14:textId="77777777" w:rsidR="00625C0B" w:rsidRDefault="00625C0B" w:rsidP="00025C38"/>
    <w:p w14:paraId="4FAF00FB" w14:textId="77777777" w:rsidR="00625C0B" w:rsidRDefault="00625C0B" w:rsidP="00025C38"/>
    <w:p w14:paraId="3F511D62" w14:textId="77777777" w:rsidR="00625C0B" w:rsidRDefault="00625C0B" w:rsidP="00025C38"/>
    <w:p w14:paraId="47734060" w14:textId="77777777" w:rsidR="00625C0B" w:rsidRPr="00552CEE" w:rsidRDefault="00625C0B" w:rsidP="00025C38"/>
    <w:p w14:paraId="501127B1" w14:textId="03860594" w:rsidR="00025C38" w:rsidRPr="00552CEE" w:rsidRDefault="00025C38" w:rsidP="00025C38">
      <w:pPr>
        <w:pStyle w:val="Caption"/>
        <w:keepNext/>
        <w:jc w:val="center"/>
      </w:pPr>
      <w:r w:rsidRPr="00552CEE">
        <w:t xml:space="preserve">Table </w:t>
      </w:r>
      <w:fldSimple w:instr=" SEQ Table \* ARABIC ">
        <w:r w:rsidR="00BA359F">
          <w:rPr>
            <w:noProof/>
          </w:rPr>
          <w:t>9</w:t>
        </w:r>
      </w:fldSimple>
      <w:r w:rsidRPr="00552CEE">
        <w:t xml:space="preserve">: Cash flow waterfall for 2% equity stake in project-financed joint venture project </w:t>
      </w:r>
      <w:r w:rsidR="00455B86" w:rsidRPr="00552CEE">
        <w:t>under the high TNUoS sensitivity.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6"/>
        <w:gridCol w:w="45"/>
        <w:gridCol w:w="1431"/>
        <w:gridCol w:w="35"/>
        <w:gridCol w:w="1441"/>
        <w:gridCol w:w="25"/>
        <w:gridCol w:w="1452"/>
        <w:gridCol w:w="15"/>
        <w:gridCol w:w="1346"/>
      </w:tblGrid>
      <w:tr w:rsidR="008C276B" w:rsidRPr="00552CEE" w14:paraId="119DE2C3" w14:textId="29A6E3E4" w:rsidTr="008C276B">
        <w:tc>
          <w:tcPr>
            <w:tcW w:w="3236" w:type="dxa"/>
            <w:shd w:val="clear" w:color="auto" w:fill="D0CECE" w:themeFill="background2" w:themeFillShade="E6"/>
          </w:tcPr>
          <w:p w14:paraId="3D2C9D33" w14:textId="77777777" w:rsidR="008C276B" w:rsidRPr="00552CEE" w:rsidRDefault="008C276B" w:rsidP="00995EE5">
            <w:pPr>
              <w:rPr>
                <w:i/>
                <w:iCs/>
              </w:rPr>
            </w:pPr>
            <w:r w:rsidRPr="00552CEE">
              <w:rPr>
                <w:i/>
                <w:iCs/>
                <w:sz w:val="20"/>
                <w:szCs w:val="20"/>
              </w:rPr>
              <w:t>Values in £million (2025, real, undiscounted)</w:t>
            </w:r>
          </w:p>
        </w:tc>
        <w:tc>
          <w:tcPr>
            <w:tcW w:w="1476" w:type="dxa"/>
            <w:gridSpan w:val="2"/>
            <w:shd w:val="clear" w:color="auto" w:fill="D0CECE" w:themeFill="background2" w:themeFillShade="E6"/>
          </w:tcPr>
          <w:p w14:paraId="73977694" w14:textId="77777777" w:rsidR="008C276B" w:rsidRPr="00552CEE" w:rsidRDefault="008C276B" w:rsidP="00995EE5">
            <w:pPr>
              <w:jc w:val="center"/>
            </w:pPr>
            <w:r w:rsidRPr="00552CEE">
              <w:t>2030</w:t>
            </w:r>
          </w:p>
        </w:tc>
        <w:tc>
          <w:tcPr>
            <w:tcW w:w="1476" w:type="dxa"/>
            <w:gridSpan w:val="2"/>
            <w:shd w:val="clear" w:color="auto" w:fill="D0CECE" w:themeFill="background2" w:themeFillShade="E6"/>
          </w:tcPr>
          <w:p w14:paraId="14AD0FCB" w14:textId="77777777" w:rsidR="008C276B" w:rsidRPr="00552CEE" w:rsidRDefault="008C276B" w:rsidP="00995EE5">
            <w:pPr>
              <w:jc w:val="center"/>
            </w:pPr>
            <w:r w:rsidRPr="00552CEE">
              <w:t>2043</w:t>
            </w:r>
          </w:p>
        </w:tc>
        <w:tc>
          <w:tcPr>
            <w:tcW w:w="1477" w:type="dxa"/>
            <w:gridSpan w:val="2"/>
            <w:shd w:val="clear" w:color="auto" w:fill="D0CECE" w:themeFill="background2" w:themeFillShade="E6"/>
          </w:tcPr>
          <w:p w14:paraId="4E439452" w14:textId="77777777" w:rsidR="008C276B" w:rsidRPr="00552CEE" w:rsidRDefault="008C276B" w:rsidP="00995EE5">
            <w:pPr>
              <w:jc w:val="center"/>
            </w:pPr>
            <w:r w:rsidRPr="00552CEE">
              <w:t>2048</w:t>
            </w:r>
          </w:p>
        </w:tc>
        <w:tc>
          <w:tcPr>
            <w:tcW w:w="1361" w:type="dxa"/>
            <w:gridSpan w:val="2"/>
            <w:shd w:val="clear" w:color="auto" w:fill="D0CECE" w:themeFill="background2" w:themeFillShade="E6"/>
          </w:tcPr>
          <w:p w14:paraId="02816D0F" w14:textId="7C2407BC" w:rsidR="008C276B" w:rsidRPr="00552CEE" w:rsidRDefault="00625C0B" w:rsidP="00995EE5">
            <w:pPr>
              <w:jc w:val="center"/>
            </w:pPr>
            <w:r>
              <w:t>2028-58</w:t>
            </w:r>
          </w:p>
        </w:tc>
      </w:tr>
      <w:tr w:rsidR="008C276B" w:rsidRPr="00552CEE" w14:paraId="12D1ACEE" w14:textId="3A419A03" w:rsidTr="008C276B">
        <w:tc>
          <w:tcPr>
            <w:tcW w:w="3236" w:type="dxa"/>
          </w:tcPr>
          <w:p w14:paraId="71110590" w14:textId="003A45E9" w:rsidR="008C276B" w:rsidRPr="00552CEE" w:rsidRDefault="008C276B" w:rsidP="00995EE5">
            <w:r w:rsidRPr="00552CEE">
              <w:t xml:space="preserve">Upfront stake: £22million </w:t>
            </w:r>
          </w:p>
          <w:p w14:paraId="350F6464" w14:textId="77777777" w:rsidR="008C276B" w:rsidRPr="00552CEE" w:rsidRDefault="008C276B" w:rsidP="00995EE5">
            <w:r w:rsidRPr="00552CEE">
              <w:t>(2% of equity in Joint Venture SPV)</w:t>
            </w:r>
          </w:p>
        </w:tc>
        <w:tc>
          <w:tcPr>
            <w:tcW w:w="1476" w:type="dxa"/>
            <w:gridSpan w:val="2"/>
          </w:tcPr>
          <w:p w14:paraId="2A8B2C91" w14:textId="77777777" w:rsidR="008C276B" w:rsidRPr="00552CEE" w:rsidRDefault="008C276B" w:rsidP="00995EE5">
            <w:pPr>
              <w:jc w:val="center"/>
            </w:pPr>
          </w:p>
        </w:tc>
        <w:tc>
          <w:tcPr>
            <w:tcW w:w="1476" w:type="dxa"/>
            <w:gridSpan w:val="2"/>
          </w:tcPr>
          <w:p w14:paraId="38398128" w14:textId="77777777" w:rsidR="008C276B" w:rsidRPr="00552CEE" w:rsidRDefault="008C276B" w:rsidP="00995EE5">
            <w:pPr>
              <w:jc w:val="center"/>
            </w:pPr>
          </w:p>
        </w:tc>
        <w:tc>
          <w:tcPr>
            <w:tcW w:w="1477" w:type="dxa"/>
            <w:gridSpan w:val="2"/>
          </w:tcPr>
          <w:p w14:paraId="111CA424" w14:textId="77777777" w:rsidR="008C276B" w:rsidRPr="00552CEE" w:rsidRDefault="008C276B" w:rsidP="00995EE5">
            <w:pPr>
              <w:jc w:val="center"/>
            </w:pPr>
          </w:p>
        </w:tc>
        <w:tc>
          <w:tcPr>
            <w:tcW w:w="1361" w:type="dxa"/>
            <w:gridSpan w:val="2"/>
          </w:tcPr>
          <w:p w14:paraId="01BE3C76" w14:textId="77777777" w:rsidR="008C276B" w:rsidRPr="00552CEE" w:rsidRDefault="008C276B" w:rsidP="00995EE5">
            <w:pPr>
              <w:jc w:val="center"/>
            </w:pPr>
          </w:p>
        </w:tc>
      </w:tr>
      <w:tr w:rsidR="008C276B" w:rsidRPr="00552CEE" w14:paraId="04B44B00" w14:textId="7A223D66" w:rsidTr="008C276B">
        <w:tc>
          <w:tcPr>
            <w:tcW w:w="3236" w:type="dxa"/>
            <w:vAlign w:val="bottom"/>
          </w:tcPr>
          <w:p w14:paraId="10E3F49D" w14:textId="77777777" w:rsidR="008C276B" w:rsidRPr="00552CEE" w:rsidRDefault="008C276B" w:rsidP="00E474DF">
            <w:r w:rsidRPr="00552CEE">
              <w:t>Revenue</w:t>
            </w:r>
          </w:p>
        </w:tc>
        <w:tc>
          <w:tcPr>
            <w:tcW w:w="1476" w:type="dxa"/>
            <w:gridSpan w:val="2"/>
          </w:tcPr>
          <w:p w14:paraId="142BEFD3" w14:textId="6406C0D6" w:rsidR="008C276B" w:rsidRPr="00552CEE" w:rsidRDefault="008C276B" w:rsidP="00E474DF">
            <w:pPr>
              <w:jc w:val="center"/>
            </w:pPr>
            <w:r w:rsidRPr="00552CEE">
              <w:t>7.5</w:t>
            </w:r>
          </w:p>
        </w:tc>
        <w:tc>
          <w:tcPr>
            <w:tcW w:w="1476" w:type="dxa"/>
            <w:gridSpan w:val="2"/>
          </w:tcPr>
          <w:p w14:paraId="749C1B62" w14:textId="6D1525C3" w:rsidR="008C276B" w:rsidRPr="00552CEE" w:rsidRDefault="008C276B" w:rsidP="00E474DF">
            <w:pPr>
              <w:jc w:val="center"/>
            </w:pPr>
            <w:r w:rsidRPr="00552CEE">
              <w:t>4.8</w:t>
            </w:r>
          </w:p>
        </w:tc>
        <w:tc>
          <w:tcPr>
            <w:tcW w:w="1477" w:type="dxa"/>
            <w:gridSpan w:val="2"/>
          </w:tcPr>
          <w:p w14:paraId="23D38579" w14:textId="163CEDFE" w:rsidR="008C276B" w:rsidRPr="00552CEE" w:rsidRDefault="008C276B" w:rsidP="00E474DF">
            <w:pPr>
              <w:jc w:val="center"/>
            </w:pPr>
            <w:r w:rsidRPr="00552CEE">
              <w:t>4.8</w:t>
            </w:r>
          </w:p>
        </w:tc>
        <w:tc>
          <w:tcPr>
            <w:tcW w:w="1361" w:type="dxa"/>
            <w:gridSpan w:val="2"/>
          </w:tcPr>
          <w:p w14:paraId="0E9A7DA7" w14:textId="77777777" w:rsidR="008C276B" w:rsidRPr="00552CEE" w:rsidRDefault="008C276B" w:rsidP="00E474DF">
            <w:pPr>
              <w:jc w:val="center"/>
            </w:pPr>
          </w:p>
        </w:tc>
      </w:tr>
      <w:tr w:rsidR="008C276B" w:rsidRPr="00552CEE" w14:paraId="55BE981C" w14:textId="57D322FE" w:rsidTr="008C276B">
        <w:tc>
          <w:tcPr>
            <w:tcW w:w="3236" w:type="dxa"/>
            <w:vAlign w:val="bottom"/>
          </w:tcPr>
          <w:p w14:paraId="13AE02E3" w14:textId="77777777" w:rsidR="008C276B" w:rsidRPr="00552CEE" w:rsidRDefault="008C276B" w:rsidP="00E474DF">
            <w:r w:rsidRPr="00552CEE">
              <w:t>Operating Costs</w:t>
            </w:r>
          </w:p>
        </w:tc>
        <w:tc>
          <w:tcPr>
            <w:tcW w:w="1476" w:type="dxa"/>
            <w:gridSpan w:val="2"/>
          </w:tcPr>
          <w:p w14:paraId="15B187AC" w14:textId="4C9FFDCA" w:rsidR="008C276B" w:rsidRPr="00552CEE" w:rsidRDefault="008C276B" w:rsidP="00E474DF">
            <w:pPr>
              <w:jc w:val="center"/>
            </w:pPr>
            <w:r w:rsidRPr="00552CEE">
              <w:t>2.5</w:t>
            </w:r>
          </w:p>
        </w:tc>
        <w:tc>
          <w:tcPr>
            <w:tcW w:w="1476" w:type="dxa"/>
            <w:gridSpan w:val="2"/>
          </w:tcPr>
          <w:p w14:paraId="56AE96B8" w14:textId="6930B65A" w:rsidR="008C276B" w:rsidRPr="00552CEE" w:rsidRDefault="008C276B" w:rsidP="00E474DF">
            <w:pPr>
              <w:jc w:val="center"/>
            </w:pPr>
            <w:r w:rsidRPr="00552CEE">
              <w:t>2.3</w:t>
            </w:r>
          </w:p>
        </w:tc>
        <w:tc>
          <w:tcPr>
            <w:tcW w:w="1477" w:type="dxa"/>
            <w:gridSpan w:val="2"/>
          </w:tcPr>
          <w:p w14:paraId="02D8E465" w14:textId="395D6088" w:rsidR="008C276B" w:rsidRPr="00552CEE" w:rsidRDefault="008C276B" w:rsidP="00E474DF">
            <w:pPr>
              <w:jc w:val="center"/>
            </w:pPr>
            <w:r w:rsidRPr="00552CEE">
              <w:t>2.3</w:t>
            </w:r>
          </w:p>
        </w:tc>
        <w:tc>
          <w:tcPr>
            <w:tcW w:w="1361" w:type="dxa"/>
            <w:gridSpan w:val="2"/>
          </w:tcPr>
          <w:p w14:paraId="59F2545F" w14:textId="77777777" w:rsidR="008C276B" w:rsidRPr="00552CEE" w:rsidRDefault="008C276B" w:rsidP="00E474DF">
            <w:pPr>
              <w:jc w:val="center"/>
            </w:pPr>
          </w:p>
        </w:tc>
      </w:tr>
      <w:tr w:rsidR="008C276B" w:rsidRPr="00552CEE" w14:paraId="2450449D" w14:textId="409BA225" w:rsidTr="008C276B">
        <w:tc>
          <w:tcPr>
            <w:tcW w:w="3236" w:type="dxa"/>
            <w:vAlign w:val="bottom"/>
          </w:tcPr>
          <w:p w14:paraId="0BDE4477" w14:textId="77777777" w:rsidR="008C276B" w:rsidRPr="00552CEE" w:rsidRDefault="008C276B" w:rsidP="00E474DF">
            <w:r w:rsidRPr="00552CEE">
              <w:t>Commercial debt servicing</w:t>
            </w:r>
          </w:p>
        </w:tc>
        <w:tc>
          <w:tcPr>
            <w:tcW w:w="1476" w:type="dxa"/>
            <w:gridSpan w:val="2"/>
          </w:tcPr>
          <w:p w14:paraId="68F54EFD" w14:textId="7B9D19C7" w:rsidR="008C276B" w:rsidRPr="00552CEE" w:rsidRDefault="008C276B" w:rsidP="00E474DF">
            <w:pPr>
              <w:jc w:val="center"/>
            </w:pPr>
            <w:r w:rsidRPr="00552CEE">
              <w:t>4.1</w:t>
            </w:r>
          </w:p>
        </w:tc>
        <w:tc>
          <w:tcPr>
            <w:tcW w:w="1476" w:type="dxa"/>
            <w:gridSpan w:val="2"/>
          </w:tcPr>
          <w:p w14:paraId="25E41DDF" w14:textId="022F8CED" w:rsidR="008C276B" w:rsidRPr="00552CEE" w:rsidRDefault="008C276B" w:rsidP="00E474DF">
            <w:pPr>
              <w:jc w:val="center"/>
            </w:pPr>
            <w:r w:rsidRPr="00552CEE">
              <w:t>0.0</w:t>
            </w:r>
          </w:p>
        </w:tc>
        <w:tc>
          <w:tcPr>
            <w:tcW w:w="1477" w:type="dxa"/>
            <w:gridSpan w:val="2"/>
          </w:tcPr>
          <w:p w14:paraId="3B5AC54F" w14:textId="66E3FE35" w:rsidR="008C276B" w:rsidRPr="00552CEE" w:rsidRDefault="008C276B" w:rsidP="00E474DF">
            <w:pPr>
              <w:jc w:val="center"/>
            </w:pPr>
            <w:r w:rsidRPr="00552CEE">
              <w:t>0.0</w:t>
            </w:r>
          </w:p>
        </w:tc>
        <w:tc>
          <w:tcPr>
            <w:tcW w:w="1361" w:type="dxa"/>
            <w:gridSpan w:val="2"/>
          </w:tcPr>
          <w:p w14:paraId="2DA832EB" w14:textId="77777777" w:rsidR="008C276B" w:rsidRPr="00552CEE" w:rsidRDefault="008C276B" w:rsidP="00E474DF">
            <w:pPr>
              <w:jc w:val="center"/>
            </w:pPr>
          </w:p>
        </w:tc>
      </w:tr>
      <w:tr w:rsidR="008C276B" w:rsidRPr="00552CEE" w14:paraId="19F6B0EE" w14:textId="28B6342B" w:rsidTr="008C276B">
        <w:tc>
          <w:tcPr>
            <w:tcW w:w="3236" w:type="dxa"/>
            <w:vAlign w:val="bottom"/>
          </w:tcPr>
          <w:p w14:paraId="3664F781" w14:textId="77777777" w:rsidR="008C276B" w:rsidRPr="00552CEE" w:rsidRDefault="008C276B" w:rsidP="00E474DF">
            <w:r w:rsidRPr="00552CEE">
              <w:t>Cash flow from project to SO</w:t>
            </w:r>
          </w:p>
        </w:tc>
        <w:tc>
          <w:tcPr>
            <w:tcW w:w="1476" w:type="dxa"/>
            <w:gridSpan w:val="2"/>
          </w:tcPr>
          <w:p w14:paraId="5A77D9BE" w14:textId="28D4EE86" w:rsidR="008C276B" w:rsidRPr="00552CEE" w:rsidRDefault="008C276B" w:rsidP="00E474DF">
            <w:pPr>
              <w:jc w:val="center"/>
            </w:pPr>
            <w:r w:rsidRPr="00552CEE">
              <w:t>0.9</w:t>
            </w:r>
          </w:p>
        </w:tc>
        <w:tc>
          <w:tcPr>
            <w:tcW w:w="1476" w:type="dxa"/>
            <w:gridSpan w:val="2"/>
          </w:tcPr>
          <w:p w14:paraId="42E92B9C" w14:textId="2E8F5125" w:rsidR="008C276B" w:rsidRPr="00552CEE" w:rsidRDefault="008C276B" w:rsidP="00E474DF">
            <w:pPr>
              <w:jc w:val="center"/>
            </w:pPr>
            <w:r w:rsidRPr="00552CEE">
              <w:t>2.5</w:t>
            </w:r>
          </w:p>
        </w:tc>
        <w:tc>
          <w:tcPr>
            <w:tcW w:w="1477" w:type="dxa"/>
            <w:gridSpan w:val="2"/>
          </w:tcPr>
          <w:p w14:paraId="063AD47F" w14:textId="75EFFEA8" w:rsidR="008C276B" w:rsidRPr="00552CEE" w:rsidRDefault="008C276B" w:rsidP="00E474DF">
            <w:pPr>
              <w:jc w:val="center"/>
            </w:pPr>
            <w:r w:rsidRPr="00552CEE">
              <w:t>2.5</w:t>
            </w:r>
          </w:p>
        </w:tc>
        <w:tc>
          <w:tcPr>
            <w:tcW w:w="1361" w:type="dxa"/>
            <w:gridSpan w:val="2"/>
          </w:tcPr>
          <w:p w14:paraId="70FC2471" w14:textId="77777777" w:rsidR="008C276B" w:rsidRPr="00552CEE" w:rsidRDefault="008C276B" w:rsidP="00E474DF">
            <w:pPr>
              <w:jc w:val="center"/>
            </w:pPr>
          </w:p>
        </w:tc>
      </w:tr>
      <w:tr w:rsidR="008C276B" w:rsidRPr="00552CEE" w14:paraId="46ED6BB1" w14:textId="140F068E" w:rsidTr="008C276B">
        <w:tc>
          <w:tcPr>
            <w:tcW w:w="3236" w:type="dxa"/>
            <w:vAlign w:val="bottom"/>
          </w:tcPr>
          <w:p w14:paraId="27EE550F" w14:textId="77777777" w:rsidR="008C276B" w:rsidRPr="00552CEE" w:rsidRDefault="008C276B" w:rsidP="00E474DF">
            <w:r w:rsidRPr="00552CEE">
              <w:t>Public Sector loan servicing</w:t>
            </w:r>
          </w:p>
        </w:tc>
        <w:tc>
          <w:tcPr>
            <w:tcW w:w="1476" w:type="dxa"/>
            <w:gridSpan w:val="2"/>
          </w:tcPr>
          <w:p w14:paraId="7D41D592" w14:textId="6A5D7026" w:rsidR="008C276B" w:rsidRPr="00552CEE" w:rsidRDefault="008C276B" w:rsidP="00E474DF">
            <w:pPr>
              <w:jc w:val="center"/>
            </w:pPr>
            <w:r w:rsidRPr="00552CEE">
              <w:t>1.0</w:t>
            </w:r>
          </w:p>
        </w:tc>
        <w:tc>
          <w:tcPr>
            <w:tcW w:w="1476" w:type="dxa"/>
            <w:gridSpan w:val="2"/>
          </w:tcPr>
          <w:p w14:paraId="61AB39EC" w14:textId="4317BD84" w:rsidR="008C276B" w:rsidRPr="00552CEE" w:rsidRDefault="008C276B" w:rsidP="00E474DF">
            <w:pPr>
              <w:jc w:val="center"/>
            </w:pPr>
            <w:r w:rsidRPr="00552CEE">
              <w:t>1.0</w:t>
            </w:r>
          </w:p>
        </w:tc>
        <w:tc>
          <w:tcPr>
            <w:tcW w:w="1477" w:type="dxa"/>
            <w:gridSpan w:val="2"/>
          </w:tcPr>
          <w:p w14:paraId="00DA048E" w14:textId="040CCB73" w:rsidR="008C276B" w:rsidRPr="00552CEE" w:rsidRDefault="008C276B" w:rsidP="00E474DF">
            <w:pPr>
              <w:jc w:val="center"/>
            </w:pPr>
            <w:r w:rsidRPr="00552CEE">
              <w:t>0.0</w:t>
            </w:r>
          </w:p>
        </w:tc>
        <w:tc>
          <w:tcPr>
            <w:tcW w:w="1361" w:type="dxa"/>
            <w:gridSpan w:val="2"/>
          </w:tcPr>
          <w:p w14:paraId="1F7B20AC" w14:textId="77777777" w:rsidR="008C276B" w:rsidRPr="00552CEE" w:rsidRDefault="008C276B" w:rsidP="00E474DF">
            <w:pPr>
              <w:jc w:val="center"/>
            </w:pPr>
          </w:p>
        </w:tc>
      </w:tr>
      <w:tr w:rsidR="008C276B" w:rsidRPr="00552CEE" w14:paraId="303DB320" w14:textId="51A12AF8" w:rsidTr="008C276B">
        <w:trPr>
          <w:trHeight w:val="44"/>
        </w:trPr>
        <w:tc>
          <w:tcPr>
            <w:tcW w:w="3236" w:type="dxa"/>
            <w:vAlign w:val="bottom"/>
          </w:tcPr>
          <w:p w14:paraId="1D49304F" w14:textId="77777777" w:rsidR="008C276B" w:rsidRPr="00552CEE" w:rsidRDefault="008C276B" w:rsidP="00E474DF">
            <w:r w:rsidRPr="00552CEE">
              <w:t>Final SO income</w:t>
            </w:r>
          </w:p>
        </w:tc>
        <w:tc>
          <w:tcPr>
            <w:tcW w:w="1476" w:type="dxa"/>
            <w:gridSpan w:val="2"/>
          </w:tcPr>
          <w:p w14:paraId="1BCEFED3" w14:textId="7B3B3234" w:rsidR="008C276B" w:rsidRPr="00552CEE" w:rsidRDefault="008C276B" w:rsidP="00E474DF">
            <w:pPr>
              <w:jc w:val="center"/>
              <w:rPr>
                <w:color w:val="C00000" w:themeColor="accent4"/>
              </w:rPr>
            </w:pPr>
            <w:r w:rsidRPr="00552CEE">
              <w:rPr>
                <w:color w:val="C00000" w:themeColor="accent4"/>
              </w:rPr>
              <w:t>-0.1</w:t>
            </w:r>
          </w:p>
        </w:tc>
        <w:tc>
          <w:tcPr>
            <w:tcW w:w="1476" w:type="dxa"/>
            <w:gridSpan w:val="2"/>
          </w:tcPr>
          <w:p w14:paraId="6F129A00" w14:textId="476FD625" w:rsidR="008C276B" w:rsidRPr="00552CEE" w:rsidRDefault="008C276B" w:rsidP="00E474DF">
            <w:pPr>
              <w:jc w:val="center"/>
              <w:rPr>
                <w:color w:val="C00000" w:themeColor="accent4"/>
              </w:rPr>
            </w:pPr>
            <w:r w:rsidRPr="00552CEE">
              <w:t>1.5</w:t>
            </w:r>
          </w:p>
        </w:tc>
        <w:tc>
          <w:tcPr>
            <w:tcW w:w="1477" w:type="dxa"/>
            <w:gridSpan w:val="2"/>
          </w:tcPr>
          <w:p w14:paraId="37AAD86E" w14:textId="7B60CC0B" w:rsidR="008C276B" w:rsidRPr="00552CEE" w:rsidRDefault="008C276B" w:rsidP="00E474DF">
            <w:pPr>
              <w:jc w:val="center"/>
            </w:pPr>
            <w:r w:rsidRPr="00552CEE">
              <w:t>2.5</w:t>
            </w:r>
          </w:p>
        </w:tc>
        <w:tc>
          <w:tcPr>
            <w:tcW w:w="1361" w:type="dxa"/>
            <w:gridSpan w:val="2"/>
          </w:tcPr>
          <w:p w14:paraId="2EFA46AF" w14:textId="77777777" w:rsidR="008C276B" w:rsidRPr="00552CEE" w:rsidRDefault="008C276B" w:rsidP="00E474DF">
            <w:pPr>
              <w:jc w:val="center"/>
            </w:pPr>
          </w:p>
        </w:tc>
      </w:tr>
      <w:tr w:rsidR="008C276B" w:rsidRPr="00552CEE" w14:paraId="062126A4" w14:textId="52767234" w:rsidTr="008C276B">
        <w:trPr>
          <w:trHeight w:val="44"/>
        </w:trPr>
        <w:tc>
          <w:tcPr>
            <w:tcW w:w="3236" w:type="dxa"/>
            <w:vAlign w:val="bottom"/>
          </w:tcPr>
          <w:p w14:paraId="4BEC059F" w14:textId="3B78C49E" w:rsidR="008C276B" w:rsidRPr="00552CEE" w:rsidRDefault="008C276B" w:rsidP="008651BA">
            <w:r w:rsidRPr="00552CEE">
              <w:rPr>
                <w:color w:val="A6A6A6" w:themeColor="background1" w:themeShade="A6"/>
              </w:rPr>
              <w:t>Basecase final SO income</w:t>
            </w:r>
          </w:p>
        </w:tc>
        <w:tc>
          <w:tcPr>
            <w:tcW w:w="1476" w:type="dxa"/>
            <w:gridSpan w:val="2"/>
          </w:tcPr>
          <w:p w14:paraId="38A07F5A" w14:textId="650A3D69" w:rsidR="008C276B" w:rsidRPr="00552CEE" w:rsidRDefault="008C276B" w:rsidP="008651BA">
            <w:pPr>
              <w:jc w:val="center"/>
              <w:rPr>
                <w:color w:val="AEAAAA" w:themeColor="background2" w:themeShade="BF"/>
              </w:rPr>
            </w:pPr>
            <w:r w:rsidRPr="00552CEE">
              <w:rPr>
                <w:color w:val="A6A6A6" w:themeColor="background1" w:themeShade="A6"/>
              </w:rPr>
              <w:t>0.3</w:t>
            </w:r>
          </w:p>
        </w:tc>
        <w:tc>
          <w:tcPr>
            <w:tcW w:w="1476" w:type="dxa"/>
            <w:gridSpan w:val="2"/>
          </w:tcPr>
          <w:p w14:paraId="00426A54" w14:textId="1AF08DC5" w:rsidR="008C276B" w:rsidRPr="00552CEE" w:rsidRDefault="008C276B" w:rsidP="008651BA">
            <w:pPr>
              <w:jc w:val="center"/>
              <w:rPr>
                <w:color w:val="AEAAAA" w:themeColor="background2" w:themeShade="BF"/>
              </w:rPr>
            </w:pPr>
            <w:r w:rsidRPr="00552CEE">
              <w:rPr>
                <w:color w:val="A6A6A6" w:themeColor="background1" w:themeShade="A6"/>
              </w:rPr>
              <w:t>1.7</w:t>
            </w:r>
          </w:p>
        </w:tc>
        <w:tc>
          <w:tcPr>
            <w:tcW w:w="1477" w:type="dxa"/>
            <w:gridSpan w:val="2"/>
          </w:tcPr>
          <w:p w14:paraId="0EF5C8B3" w14:textId="34846B9C" w:rsidR="008C276B" w:rsidRPr="00552CEE" w:rsidRDefault="008C276B" w:rsidP="008651BA">
            <w:pPr>
              <w:jc w:val="center"/>
              <w:rPr>
                <w:color w:val="AEAAAA" w:themeColor="background2" w:themeShade="BF"/>
              </w:rPr>
            </w:pPr>
            <w:r w:rsidRPr="00552CEE">
              <w:rPr>
                <w:color w:val="A6A6A6" w:themeColor="background1" w:themeShade="A6"/>
              </w:rPr>
              <w:t>3.2</w:t>
            </w:r>
          </w:p>
        </w:tc>
        <w:tc>
          <w:tcPr>
            <w:tcW w:w="1361" w:type="dxa"/>
            <w:gridSpan w:val="2"/>
          </w:tcPr>
          <w:p w14:paraId="25080B6F" w14:textId="77777777" w:rsidR="008C276B" w:rsidRPr="00552CEE" w:rsidRDefault="008C276B" w:rsidP="008651BA">
            <w:pPr>
              <w:jc w:val="center"/>
              <w:rPr>
                <w:color w:val="A6A6A6" w:themeColor="background1" w:themeShade="A6"/>
              </w:rPr>
            </w:pPr>
          </w:p>
        </w:tc>
      </w:tr>
      <w:tr w:rsidR="008C276B" w:rsidRPr="00552CEE" w14:paraId="3CDCFF46" w14:textId="77777777" w:rsidTr="004E2AB3">
        <w:tc>
          <w:tcPr>
            <w:tcW w:w="3281" w:type="dxa"/>
            <w:gridSpan w:val="2"/>
            <w:vAlign w:val="bottom"/>
          </w:tcPr>
          <w:p w14:paraId="360CFDDC" w14:textId="77777777" w:rsidR="00625C0B" w:rsidRDefault="00625C0B" w:rsidP="00625C0B">
            <w:r>
              <w:t>Cumulative lifetime income</w:t>
            </w:r>
          </w:p>
          <w:p w14:paraId="334E6911" w14:textId="2B739FCA" w:rsidR="008C276B" w:rsidRPr="00552CEE" w:rsidRDefault="00625C0B" w:rsidP="00625C0B">
            <w:r>
              <w:t>(30 years, undiscounted)</w:t>
            </w:r>
          </w:p>
        </w:tc>
        <w:tc>
          <w:tcPr>
            <w:tcW w:w="1466" w:type="dxa"/>
            <w:gridSpan w:val="2"/>
          </w:tcPr>
          <w:p w14:paraId="62218A44" w14:textId="77777777" w:rsidR="008C276B" w:rsidRPr="00552CEE" w:rsidRDefault="008C276B" w:rsidP="004E2AB3">
            <w:pPr>
              <w:jc w:val="center"/>
            </w:pPr>
          </w:p>
        </w:tc>
        <w:tc>
          <w:tcPr>
            <w:tcW w:w="1466" w:type="dxa"/>
            <w:gridSpan w:val="2"/>
          </w:tcPr>
          <w:p w14:paraId="3BC22B6B" w14:textId="77777777" w:rsidR="008C276B" w:rsidRPr="00552CEE" w:rsidRDefault="008C276B" w:rsidP="004E2AB3">
            <w:pPr>
              <w:jc w:val="center"/>
              <w:rPr>
                <w:color w:val="C00000" w:themeColor="accent4"/>
              </w:rPr>
            </w:pPr>
          </w:p>
        </w:tc>
        <w:tc>
          <w:tcPr>
            <w:tcW w:w="1467" w:type="dxa"/>
            <w:gridSpan w:val="2"/>
          </w:tcPr>
          <w:p w14:paraId="2308841C" w14:textId="77777777" w:rsidR="008C276B" w:rsidRPr="00552CEE" w:rsidRDefault="008C276B" w:rsidP="004E2AB3">
            <w:pPr>
              <w:jc w:val="center"/>
            </w:pPr>
          </w:p>
        </w:tc>
        <w:tc>
          <w:tcPr>
            <w:tcW w:w="1346" w:type="dxa"/>
          </w:tcPr>
          <w:p w14:paraId="18C0F0A7" w14:textId="5607B0E2" w:rsidR="008C276B" w:rsidRPr="00552CEE" w:rsidRDefault="008C276B" w:rsidP="004E2AB3">
            <w:pPr>
              <w:jc w:val="center"/>
            </w:pPr>
            <w:r>
              <w:t>31.0</w:t>
            </w:r>
          </w:p>
        </w:tc>
      </w:tr>
    </w:tbl>
    <w:p w14:paraId="0270071B" w14:textId="77777777" w:rsidR="00C6663A" w:rsidRPr="00552CEE" w:rsidRDefault="00C6663A" w:rsidP="003431E7"/>
    <w:p w14:paraId="38D75AC5" w14:textId="1B7E4C33" w:rsidR="0097306C" w:rsidRPr="00552CEE" w:rsidRDefault="0097306C" w:rsidP="0097306C">
      <w:r w:rsidRPr="00552CEE">
        <w:t xml:space="preserve">The increase in TNUoS reduces final income to the SO Company by between £0.1 million and £0.3 million per year in the </w:t>
      </w:r>
      <w:r w:rsidR="007269B5">
        <w:t xml:space="preserve">balance sheet </w:t>
      </w:r>
      <w:r w:rsidRPr="00552CEE">
        <w:t>ownership model, and by between £0.2 million and £0.7 million per year in the project finance ownership model.</w:t>
      </w:r>
    </w:p>
    <w:p w14:paraId="74CA592A" w14:textId="6E50F1AF" w:rsidR="00215F9B" w:rsidRPr="00552CEE" w:rsidRDefault="0097306C" w:rsidP="0097306C">
      <w:r w:rsidRPr="00552CEE">
        <w:t xml:space="preserve">In the </w:t>
      </w:r>
      <w:r w:rsidR="007269B5">
        <w:t xml:space="preserve">balance sheet </w:t>
      </w:r>
      <w:r w:rsidRPr="00552CEE">
        <w:t xml:space="preserve">ownership model, final SO income remains positive in 2030 and 2048 and is slightly more negative in 2043. In the project finance ownership model, final SO income </w:t>
      </w:r>
      <w:r w:rsidR="00563F68" w:rsidRPr="00552CEE">
        <w:t xml:space="preserve">is slightly negative </w:t>
      </w:r>
      <w:r w:rsidR="0091405D" w:rsidRPr="00552CEE">
        <w:t>during in 2030</w:t>
      </w:r>
      <w:r w:rsidRPr="00552CEE">
        <w:t>.</w:t>
      </w:r>
    </w:p>
    <w:p w14:paraId="6BAB781D" w14:textId="556768E2" w:rsidR="00215F9B" w:rsidRPr="00552CEE" w:rsidRDefault="00215F9B" w:rsidP="00215F9B">
      <w:pPr>
        <w:sectPr w:rsidR="00215F9B" w:rsidRPr="00552CEE">
          <w:pgSz w:w="11906" w:h="16838"/>
          <w:pgMar w:top="1440" w:right="1440" w:bottom="1440" w:left="1440" w:header="708" w:footer="708" w:gutter="0"/>
          <w:cols w:space="708"/>
          <w:docGrid w:linePitch="360"/>
        </w:sectPr>
      </w:pPr>
    </w:p>
    <w:p w14:paraId="0A73E7EB" w14:textId="491F4C78" w:rsidR="00D7588B" w:rsidRPr="00552CEE" w:rsidRDefault="00615C8E" w:rsidP="00D7588B">
      <w:pPr>
        <w:pStyle w:val="Heading3"/>
      </w:pPr>
      <w:r w:rsidRPr="00552CEE">
        <w:lastRenderedPageBreak/>
        <w:t>Market and regulatory h</w:t>
      </w:r>
      <w:r w:rsidR="005772C7" w:rsidRPr="00552CEE">
        <w:t xml:space="preserve">eadwinds </w:t>
      </w:r>
      <w:r w:rsidRPr="00552CEE">
        <w:t>sensitivity</w:t>
      </w:r>
    </w:p>
    <w:p w14:paraId="40FA4133" w14:textId="77777777" w:rsidR="008C0C1E" w:rsidRPr="00552CEE" w:rsidRDefault="008C0C1E" w:rsidP="008C0C1E">
      <w:r w:rsidRPr="00552CEE">
        <w:t>This scenario models three changes to the base case that reflect moderately worse market and regulatory outcomes. The three changes are:</w:t>
      </w:r>
    </w:p>
    <w:p w14:paraId="5BA42B66" w14:textId="77777777" w:rsidR="008C0C1E" w:rsidRPr="00552CEE" w:rsidRDefault="008C0C1E" w:rsidP="008C0C1E">
      <w:pPr>
        <w:numPr>
          <w:ilvl w:val="0"/>
          <w:numId w:val="32"/>
        </w:numPr>
      </w:pPr>
      <w:r w:rsidRPr="00552CEE">
        <w:rPr>
          <w:b/>
          <w:bCs/>
        </w:rPr>
        <w:t>Higher economic curtailment:</w:t>
      </w:r>
      <w:r w:rsidRPr="00552CEE">
        <w:t xml:space="preserve"> Economic curtailment rises to 11% of available output by 2030 and falls back to zero by 2050.</w:t>
      </w:r>
    </w:p>
    <w:p w14:paraId="4421DB25" w14:textId="77777777" w:rsidR="008C0C1E" w:rsidRPr="00552CEE" w:rsidRDefault="008C0C1E" w:rsidP="008C0C1E">
      <w:pPr>
        <w:numPr>
          <w:ilvl w:val="0"/>
          <w:numId w:val="32"/>
        </w:numPr>
      </w:pPr>
      <w:r w:rsidRPr="00552CEE">
        <w:rPr>
          <w:b/>
          <w:bCs/>
        </w:rPr>
        <w:t>Transmission Loss Multipliers:</w:t>
      </w:r>
      <w:r w:rsidRPr="00552CEE">
        <w:t xml:space="preserve"> A locational average TLM of 96.5% is applied.</w:t>
      </w:r>
    </w:p>
    <w:p w14:paraId="61E0F447" w14:textId="77777777" w:rsidR="008C0C1E" w:rsidRPr="00552CEE" w:rsidRDefault="008C0C1E" w:rsidP="008C0C1E">
      <w:pPr>
        <w:numPr>
          <w:ilvl w:val="0"/>
          <w:numId w:val="32"/>
        </w:numPr>
      </w:pPr>
      <w:r w:rsidRPr="00552CEE">
        <w:rPr>
          <w:b/>
          <w:bCs/>
        </w:rPr>
        <w:t>Wind capture price in the merchant tail:</w:t>
      </w:r>
      <w:r w:rsidRPr="00552CEE">
        <w:t xml:space="preserve"> Reduces to 65% of baseload price forecasts.</w:t>
      </w:r>
    </w:p>
    <w:p w14:paraId="0E083FD5" w14:textId="77777777" w:rsidR="008C0C1E" w:rsidRPr="00552CEE" w:rsidRDefault="008C0C1E" w:rsidP="008C0C1E">
      <w:r w:rsidRPr="00552CEE">
        <w:t>These assumptions fall within a reasonable range of sector expectations, and a project should be sufficiently robust to withstand outcomes within these bounds.</w:t>
      </w:r>
    </w:p>
    <w:p w14:paraId="41553838" w14:textId="77777777" w:rsidR="00056308" w:rsidRPr="00552CEE" w:rsidRDefault="00056308" w:rsidP="00615C8E"/>
    <w:p w14:paraId="55A91C10" w14:textId="38E14998" w:rsidR="00615C8E" w:rsidRPr="00552CEE" w:rsidRDefault="00615C8E" w:rsidP="00615C8E">
      <w:pPr>
        <w:pStyle w:val="Caption"/>
        <w:keepNext/>
        <w:jc w:val="center"/>
      </w:pPr>
      <w:r w:rsidRPr="00552CEE">
        <w:t xml:space="preserve">Table </w:t>
      </w:r>
      <w:fldSimple w:instr=" SEQ Table \* ARABIC ">
        <w:r w:rsidR="00BA359F">
          <w:rPr>
            <w:noProof/>
          </w:rPr>
          <w:t>10</w:t>
        </w:r>
      </w:fldSimple>
      <w:r w:rsidRPr="00552CEE">
        <w:t xml:space="preserve">: Cash flow waterfall for 1% equity stake in commercial balance sheet project under </w:t>
      </w:r>
      <w:r w:rsidR="00961745" w:rsidRPr="00552CEE">
        <w:t>market and regulatory headwinds sensitivity</w:t>
      </w:r>
      <w:r w:rsidRPr="00552CEE">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6"/>
        <w:gridCol w:w="45"/>
        <w:gridCol w:w="1431"/>
        <w:gridCol w:w="35"/>
        <w:gridCol w:w="1441"/>
        <w:gridCol w:w="25"/>
        <w:gridCol w:w="1452"/>
        <w:gridCol w:w="15"/>
        <w:gridCol w:w="1346"/>
      </w:tblGrid>
      <w:tr w:rsidR="008C276B" w:rsidRPr="00552CEE" w14:paraId="55266009" w14:textId="0BB61C76" w:rsidTr="008C276B">
        <w:tc>
          <w:tcPr>
            <w:tcW w:w="3236" w:type="dxa"/>
            <w:shd w:val="clear" w:color="auto" w:fill="D0CECE" w:themeFill="background2" w:themeFillShade="E6"/>
          </w:tcPr>
          <w:p w14:paraId="53A67FF5" w14:textId="77777777" w:rsidR="008C276B" w:rsidRPr="00552CEE" w:rsidRDefault="008C276B" w:rsidP="00995EE5">
            <w:pPr>
              <w:rPr>
                <w:i/>
                <w:iCs/>
              </w:rPr>
            </w:pPr>
            <w:r w:rsidRPr="00552CEE">
              <w:rPr>
                <w:i/>
                <w:iCs/>
                <w:sz w:val="20"/>
                <w:szCs w:val="20"/>
              </w:rPr>
              <w:t>Values in £million (2025, real, undiscounted)</w:t>
            </w:r>
          </w:p>
        </w:tc>
        <w:tc>
          <w:tcPr>
            <w:tcW w:w="1476" w:type="dxa"/>
            <w:gridSpan w:val="2"/>
            <w:shd w:val="clear" w:color="auto" w:fill="D0CECE" w:themeFill="background2" w:themeFillShade="E6"/>
          </w:tcPr>
          <w:p w14:paraId="3587B44B" w14:textId="77777777" w:rsidR="008C276B" w:rsidRPr="00552CEE" w:rsidRDefault="008C276B" w:rsidP="00995EE5">
            <w:pPr>
              <w:jc w:val="center"/>
            </w:pPr>
            <w:r w:rsidRPr="00552CEE">
              <w:t>2030</w:t>
            </w:r>
          </w:p>
        </w:tc>
        <w:tc>
          <w:tcPr>
            <w:tcW w:w="1476" w:type="dxa"/>
            <w:gridSpan w:val="2"/>
            <w:shd w:val="clear" w:color="auto" w:fill="D0CECE" w:themeFill="background2" w:themeFillShade="E6"/>
          </w:tcPr>
          <w:p w14:paraId="321C765E" w14:textId="77777777" w:rsidR="008C276B" w:rsidRPr="00552CEE" w:rsidRDefault="008C276B" w:rsidP="00995EE5">
            <w:pPr>
              <w:jc w:val="center"/>
            </w:pPr>
            <w:r w:rsidRPr="00552CEE">
              <w:t>2043</w:t>
            </w:r>
          </w:p>
        </w:tc>
        <w:tc>
          <w:tcPr>
            <w:tcW w:w="1477" w:type="dxa"/>
            <w:gridSpan w:val="2"/>
            <w:shd w:val="clear" w:color="auto" w:fill="D0CECE" w:themeFill="background2" w:themeFillShade="E6"/>
          </w:tcPr>
          <w:p w14:paraId="08F5B4D1" w14:textId="77777777" w:rsidR="008C276B" w:rsidRPr="00552CEE" w:rsidRDefault="008C276B" w:rsidP="00995EE5">
            <w:pPr>
              <w:jc w:val="center"/>
            </w:pPr>
            <w:r w:rsidRPr="00552CEE">
              <w:t>2048</w:t>
            </w:r>
          </w:p>
        </w:tc>
        <w:tc>
          <w:tcPr>
            <w:tcW w:w="1361" w:type="dxa"/>
            <w:gridSpan w:val="2"/>
            <w:shd w:val="clear" w:color="auto" w:fill="D0CECE" w:themeFill="background2" w:themeFillShade="E6"/>
          </w:tcPr>
          <w:p w14:paraId="646E8BF1" w14:textId="7928A68C" w:rsidR="008C276B" w:rsidRPr="00552CEE" w:rsidRDefault="00625C0B" w:rsidP="00995EE5">
            <w:pPr>
              <w:jc w:val="center"/>
            </w:pPr>
            <w:r>
              <w:t>2028-38</w:t>
            </w:r>
          </w:p>
        </w:tc>
      </w:tr>
      <w:tr w:rsidR="008C276B" w:rsidRPr="00552CEE" w14:paraId="6F982FFF" w14:textId="7FFB9BC7" w:rsidTr="008C276B">
        <w:tc>
          <w:tcPr>
            <w:tcW w:w="3236" w:type="dxa"/>
          </w:tcPr>
          <w:p w14:paraId="3C3F1642" w14:textId="29B9D76A" w:rsidR="008C276B" w:rsidRPr="00552CEE" w:rsidRDefault="008C276B" w:rsidP="00995EE5">
            <w:r w:rsidRPr="00552CEE">
              <w:t xml:space="preserve">Upfront stake: £31million </w:t>
            </w:r>
          </w:p>
          <w:p w14:paraId="5B45A569" w14:textId="77777777" w:rsidR="008C276B" w:rsidRPr="00552CEE" w:rsidRDefault="008C276B" w:rsidP="00995EE5">
            <w:r w:rsidRPr="00552CEE">
              <w:t>(1% of project)</w:t>
            </w:r>
          </w:p>
        </w:tc>
        <w:tc>
          <w:tcPr>
            <w:tcW w:w="1476" w:type="dxa"/>
            <w:gridSpan w:val="2"/>
          </w:tcPr>
          <w:p w14:paraId="19E79945" w14:textId="77777777" w:rsidR="008C276B" w:rsidRPr="00552CEE" w:rsidRDefault="008C276B" w:rsidP="00995EE5">
            <w:pPr>
              <w:jc w:val="center"/>
            </w:pPr>
          </w:p>
        </w:tc>
        <w:tc>
          <w:tcPr>
            <w:tcW w:w="1476" w:type="dxa"/>
            <w:gridSpan w:val="2"/>
          </w:tcPr>
          <w:p w14:paraId="64EFA3A9" w14:textId="77777777" w:rsidR="008C276B" w:rsidRPr="00552CEE" w:rsidRDefault="008C276B" w:rsidP="00995EE5">
            <w:pPr>
              <w:jc w:val="center"/>
            </w:pPr>
          </w:p>
        </w:tc>
        <w:tc>
          <w:tcPr>
            <w:tcW w:w="1477" w:type="dxa"/>
            <w:gridSpan w:val="2"/>
          </w:tcPr>
          <w:p w14:paraId="5866820E" w14:textId="77777777" w:rsidR="008C276B" w:rsidRPr="00552CEE" w:rsidRDefault="008C276B" w:rsidP="00995EE5">
            <w:pPr>
              <w:jc w:val="center"/>
            </w:pPr>
          </w:p>
        </w:tc>
        <w:tc>
          <w:tcPr>
            <w:tcW w:w="1361" w:type="dxa"/>
            <w:gridSpan w:val="2"/>
          </w:tcPr>
          <w:p w14:paraId="72940B77" w14:textId="77777777" w:rsidR="008C276B" w:rsidRPr="00552CEE" w:rsidRDefault="008C276B" w:rsidP="00995EE5">
            <w:pPr>
              <w:jc w:val="center"/>
            </w:pPr>
          </w:p>
        </w:tc>
      </w:tr>
      <w:tr w:rsidR="008C276B" w:rsidRPr="00552CEE" w14:paraId="3FFE9FC8" w14:textId="3488BCE8" w:rsidTr="008C276B">
        <w:tc>
          <w:tcPr>
            <w:tcW w:w="3236" w:type="dxa"/>
            <w:vAlign w:val="bottom"/>
          </w:tcPr>
          <w:p w14:paraId="3C762C78" w14:textId="77777777" w:rsidR="008C276B" w:rsidRPr="00552CEE" w:rsidRDefault="008C276B" w:rsidP="00FE1B4E">
            <w:r w:rsidRPr="00552CEE">
              <w:t>Revenue</w:t>
            </w:r>
          </w:p>
        </w:tc>
        <w:tc>
          <w:tcPr>
            <w:tcW w:w="1476" w:type="dxa"/>
            <w:gridSpan w:val="2"/>
          </w:tcPr>
          <w:p w14:paraId="1C94C18D" w14:textId="0DC224A9" w:rsidR="008C276B" w:rsidRPr="00552CEE" w:rsidRDefault="008C276B" w:rsidP="00FE1B4E">
            <w:pPr>
              <w:jc w:val="center"/>
            </w:pPr>
            <w:r w:rsidRPr="00552CEE">
              <w:t>3.3</w:t>
            </w:r>
          </w:p>
        </w:tc>
        <w:tc>
          <w:tcPr>
            <w:tcW w:w="1476" w:type="dxa"/>
            <w:gridSpan w:val="2"/>
          </w:tcPr>
          <w:p w14:paraId="11D1FC6B" w14:textId="1E2EE8CB" w:rsidR="008C276B" w:rsidRPr="00552CEE" w:rsidRDefault="008C276B" w:rsidP="00FE1B4E">
            <w:pPr>
              <w:jc w:val="center"/>
            </w:pPr>
            <w:r w:rsidRPr="00552CEE">
              <w:t>2.1</w:t>
            </w:r>
          </w:p>
        </w:tc>
        <w:tc>
          <w:tcPr>
            <w:tcW w:w="1477" w:type="dxa"/>
            <w:gridSpan w:val="2"/>
          </w:tcPr>
          <w:p w14:paraId="3FCD3F35" w14:textId="4F6CA53C" w:rsidR="008C276B" w:rsidRPr="00552CEE" w:rsidRDefault="008C276B" w:rsidP="00FE1B4E">
            <w:pPr>
              <w:jc w:val="center"/>
            </w:pPr>
            <w:r w:rsidRPr="00552CEE">
              <w:t>2.2</w:t>
            </w:r>
          </w:p>
        </w:tc>
        <w:tc>
          <w:tcPr>
            <w:tcW w:w="1361" w:type="dxa"/>
            <w:gridSpan w:val="2"/>
          </w:tcPr>
          <w:p w14:paraId="7CC3E0AD" w14:textId="77777777" w:rsidR="008C276B" w:rsidRPr="00552CEE" w:rsidRDefault="008C276B" w:rsidP="00FE1B4E">
            <w:pPr>
              <w:jc w:val="center"/>
            </w:pPr>
          </w:p>
        </w:tc>
      </w:tr>
      <w:tr w:rsidR="008C276B" w:rsidRPr="00552CEE" w14:paraId="0C00D619" w14:textId="018F493C" w:rsidTr="008C276B">
        <w:tc>
          <w:tcPr>
            <w:tcW w:w="3236" w:type="dxa"/>
            <w:vAlign w:val="bottom"/>
          </w:tcPr>
          <w:p w14:paraId="26449918" w14:textId="77777777" w:rsidR="008C276B" w:rsidRPr="00552CEE" w:rsidRDefault="008C276B" w:rsidP="00FE1B4E">
            <w:r w:rsidRPr="00552CEE">
              <w:t>Operating Costs</w:t>
            </w:r>
          </w:p>
        </w:tc>
        <w:tc>
          <w:tcPr>
            <w:tcW w:w="1476" w:type="dxa"/>
            <w:gridSpan w:val="2"/>
          </w:tcPr>
          <w:p w14:paraId="30B1F49A" w14:textId="60BA7D3E" w:rsidR="008C276B" w:rsidRPr="00552CEE" w:rsidRDefault="008C276B" w:rsidP="00FE1B4E">
            <w:pPr>
              <w:jc w:val="center"/>
            </w:pPr>
            <w:r w:rsidRPr="00552CEE">
              <w:t>0.8</w:t>
            </w:r>
          </w:p>
        </w:tc>
        <w:tc>
          <w:tcPr>
            <w:tcW w:w="1476" w:type="dxa"/>
            <w:gridSpan w:val="2"/>
          </w:tcPr>
          <w:p w14:paraId="36018B57" w14:textId="217D6014" w:rsidR="008C276B" w:rsidRPr="00552CEE" w:rsidRDefault="008C276B" w:rsidP="00FE1B4E">
            <w:pPr>
              <w:jc w:val="center"/>
            </w:pPr>
            <w:r w:rsidRPr="00552CEE">
              <w:t>0.8</w:t>
            </w:r>
          </w:p>
        </w:tc>
        <w:tc>
          <w:tcPr>
            <w:tcW w:w="1477" w:type="dxa"/>
            <w:gridSpan w:val="2"/>
          </w:tcPr>
          <w:p w14:paraId="744B68CF" w14:textId="400C4F86" w:rsidR="008C276B" w:rsidRPr="00552CEE" w:rsidRDefault="008C276B" w:rsidP="00FE1B4E">
            <w:pPr>
              <w:jc w:val="center"/>
            </w:pPr>
            <w:r w:rsidRPr="00552CEE">
              <w:t>0.8</w:t>
            </w:r>
          </w:p>
        </w:tc>
        <w:tc>
          <w:tcPr>
            <w:tcW w:w="1361" w:type="dxa"/>
            <w:gridSpan w:val="2"/>
          </w:tcPr>
          <w:p w14:paraId="70F923FD" w14:textId="77777777" w:rsidR="008C276B" w:rsidRPr="00552CEE" w:rsidRDefault="008C276B" w:rsidP="00FE1B4E">
            <w:pPr>
              <w:jc w:val="center"/>
            </w:pPr>
          </w:p>
        </w:tc>
      </w:tr>
      <w:tr w:rsidR="008C276B" w:rsidRPr="00552CEE" w14:paraId="28EAE9E1" w14:textId="20E68CA9" w:rsidTr="008C276B">
        <w:tc>
          <w:tcPr>
            <w:tcW w:w="3236" w:type="dxa"/>
            <w:vAlign w:val="bottom"/>
          </w:tcPr>
          <w:p w14:paraId="17222B2A" w14:textId="77777777" w:rsidR="008C276B" w:rsidRPr="00552CEE" w:rsidRDefault="008C276B" w:rsidP="00FE1B4E">
            <w:pPr>
              <w:rPr>
                <w:color w:val="BFBFBF" w:themeColor="background1" w:themeShade="BF"/>
              </w:rPr>
            </w:pPr>
            <w:r w:rsidRPr="00552CEE">
              <w:rPr>
                <w:color w:val="BFBFBF" w:themeColor="background1" w:themeShade="BF"/>
              </w:rPr>
              <w:t>Commercial debt servicing</w:t>
            </w:r>
          </w:p>
        </w:tc>
        <w:tc>
          <w:tcPr>
            <w:tcW w:w="1476" w:type="dxa"/>
            <w:gridSpan w:val="2"/>
          </w:tcPr>
          <w:p w14:paraId="14DEB8EF" w14:textId="28A2116C" w:rsidR="008C276B" w:rsidRPr="00226588" w:rsidRDefault="008C276B" w:rsidP="00FE1B4E">
            <w:pPr>
              <w:jc w:val="center"/>
              <w:rPr>
                <w:color w:val="AEAAAA" w:themeColor="background2" w:themeShade="BF"/>
              </w:rPr>
            </w:pPr>
            <w:r w:rsidRPr="00226588">
              <w:rPr>
                <w:color w:val="AEAAAA" w:themeColor="background2" w:themeShade="BF"/>
              </w:rPr>
              <w:t>0.0</w:t>
            </w:r>
          </w:p>
        </w:tc>
        <w:tc>
          <w:tcPr>
            <w:tcW w:w="1476" w:type="dxa"/>
            <w:gridSpan w:val="2"/>
          </w:tcPr>
          <w:p w14:paraId="3F697806" w14:textId="0084CB2A" w:rsidR="008C276B" w:rsidRPr="00226588" w:rsidRDefault="008C276B" w:rsidP="00FE1B4E">
            <w:pPr>
              <w:jc w:val="center"/>
              <w:rPr>
                <w:color w:val="AEAAAA" w:themeColor="background2" w:themeShade="BF"/>
              </w:rPr>
            </w:pPr>
            <w:r w:rsidRPr="00226588">
              <w:rPr>
                <w:color w:val="AEAAAA" w:themeColor="background2" w:themeShade="BF"/>
              </w:rPr>
              <w:t>0.0</w:t>
            </w:r>
          </w:p>
        </w:tc>
        <w:tc>
          <w:tcPr>
            <w:tcW w:w="1477" w:type="dxa"/>
            <w:gridSpan w:val="2"/>
          </w:tcPr>
          <w:p w14:paraId="4C2E57CB" w14:textId="2AB49DA9" w:rsidR="008C276B" w:rsidRPr="00226588" w:rsidRDefault="008C276B" w:rsidP="00FE1B4E">
            <w:pPr>
              <w:jc w:val="center"/>
              <w:rPr>
                <w:color w:val="AEAAAA" w:themeColor="background2" w:themeShade="BF"/>
              </w:rPr>
            </w:pPr>
            <w:r w:rsidRPr="00226588">
              <w:rPr>
                <w:color w:val="AEAAAA" w:themeColor="background2" w:themeShade="BF"/>
              </w:rPr>
              <w:t>0.0</w:t>
            </w:r>
          </w:p>
        </w:tc>
        <w:tc>
          <w:tcPr>
            <w:tcW w:w="1361" w:type="dxa"/>
            <w:gridSpan w:val="2"/>
          </w:tcPr>
          <w:p w14:paraId="47AEF60D" w14:textId="77777777" w:rsidR="008C276B" w:rsidRPr="00226588" w:rsidRDefault="008C276B" w:rsidP="00FE1B4E">
            <w:pPr>
              <w:jc w:val="center"/>
              <w:rPr>
                <w:color w:val="AEAAAA" w:themeColor="background2" w:themeShade="BF"/>
              </w:rPr>
            </w:pPr>
          </w:p>
        </w:tc>
      </w:tr>
      <w:tr w:rsidR="008C276B" w:rsidRPr="00552CEE" w14:paraId="09387046" w14:textId="1E223594" w:rsidTr="008C276B">
        <w:tc>
          <w:tcPr>
            <w:tcW w:w="3236" w:type="dxa"/>
            <w:vAlign w:val="bottom"/>
          </w:tcPr>
          <w:p w14:paraId="571B1C20" w14:textId="77777777" w:rsidR="008C276B" w:rsidRPr="00552CEE" w:rsidRDefault="008C276B" w:rsidP="00FE1B4E">
            <w:r w:rsidRPr="00552CEE">
              <w:t>Cash flow from project to SO</w:t>
            </w:r>
          </w:p>
        </w:tc>
        <w:tc>
          <w:tcPr>
            <w:tcW w:w="1476" w:type="dxa"/>
            <w:gridSpan w:val="2"/>
          </w:tcPr>
          <w:p w14:paraId="4612EB17" w14:textId="22C98405" w:rsidR="008C276B" w:rsidRPr="00552CEE" w:rsidRDefault="008C276B" w:rsidP="00FE1B4E">
            <w:pPr>
              <w:jc w:val="center"/>
            </w:pPr>
            <w:r w:rsidRPr="00552CEE">
              <w:t>2.5</w:t>
            </w:r>
          </w:p>
        </w:tc>
        <w:tc>
          <w:tcPr>
            <w:tcW w:w="1476" w:type="dxa"/>
            <w:gridSpan w:val="2"/>
          </w:tcPr>
          <w:p w14:paraId="5ED1A7AC" w14:textId="024BE7D1" w:rsidR="008C276B" w:rsidRPr="00552CEE" w:rsidRDefault="008C276B" w:rsidP="00FE1B4E">
            <w:pPr>
              <w:jc w:val="center"/>
            </w:pPr>
            <w:r w:rsidRPr="00552CEE">
              <w:t>1.3</w:t>
            </w:r>
          </w:p>
        </w:tc>
        <w:tc>
          <w:tcPr>
            <w:tcW w:w="1477" w:type="dxa"/>
            <w:gridSpan w:val="2"/>
          </w:tcPr>
          <w:p w14:paraId="2C1A54EA" w14:textId="32B0B475" w:rsidR="008C276B" w:rsidRPr="00552CEE" w:rsidRDefault="008C276B" w:rsidP="00FE1B4E">
            <w:pPr>
              <w:jc w:val="center"/>
            </w:pPr>
            <w:r w:rsidRPr="00552CEE">
              <w:t>1.4</w:t>
            </w:r>
          </w:p>
        </w:tc>
        <w:tc>
          <w:tcPr>
            <w:tcW w:w="1361" w:type="dxa"/>
            <w:gridSpan w:val="2"/>
          </w:tcPr>
          <w:p w14:paraId="216E34FA" w14:textId="77777777" w:rsidR="008C276B" w:rsidRPr="00552CEE" w:rsidRDefault="008C276B" w:rsidP="00FE1B4E">
            <w:pPr>
              <w:jc w:val="center"/>
            </w:pPr>
          </w:p>
        </w:tc>
      </w:tr>
      <w:tr w:rsidR="008C276B" w:rsidRPr="00552CEE" w14:paraId="2816E720" w14:textId="1BF315DE" w:rsidTr="008C276B">
        <w:tc>
          <w:tcPr>
            <w:tcW w:w="3236" w:type="dxa"/>
            <w:vAlign w:val="bottom"/>
          </w:tcPr>
          <w:p w14:paraId="5537EA0C" w14:textId="77777777" w:rsidR="008C276B" w:rsidRPr="00552CEE" w:rsidRDefault="008C276B" w:rsidP="00FE1B4E">
            <w:r w:rsidRPr="00552CEE">
              <w:t>Public Sector loan servicing</w:t>
            </w:r>
          </w:p>
        </w:tc>
        <w:tc>
          <w:tcPr>
            <w:tcW w:w="1476" w:type="dxa"/>
            <w:gridSpan w:val="2"/>
          </w:tcPr>
          <w:p w14:paraId="5D1AA62D" w14:textId="5EDDC726" w:rsidR="008C276B" w:rsidRPr="00552CEE" w:rsidRDefault="008C276B" w:rsidP="00FE1B4E">
            <w:pPr>
              <w:jc w:val="center"/>
            </w:pPr>
            <w:r w:rsidRPr="00552CEE">
              <w:t>1.9</w:t>
            </w:r>
          </w:p>
        </w:tc>
        <w:tc>
          <w:tcPr>
            <w:tcW w:w="1476" w:type="dxa"/>
            <w:gridSpan w:val="2"/>
          </w:tcPr>
          <w:p w14:paraId="6265E1B0" w14:textId="620EEF6E" w:rsidR="008C276B" w:rsidRPr="00552CEE" w:rsidRDefault="008C276B" w:rsidP="00FE1B4E">
            <w:pPr>
              <w:jc w:val="center"/>
            </w:pPr>
            <w:r w:rsidRPr="00552CEE">
              <w:t>1.9</w:t>
            </w:r>
          </w:p>
        </w:tc>
        <w:tc>
          <w:tcPr>
            <w:tcW w:w="1477" w:type="dxa"/>
            <w:gridSpan w:val="2"/>
          </w:tcPr>
          <w:p w14:paraId="799018DE" w14:textId="5ED8D36D" w:rsidR="008C276B" w:rsidRPr="00552CEE" w:rsidRDefault="008C276B" w:rsidP="00FE1B4E">
            <w:pPr>
              <w:jc w:val="center"/>
            </w:pPr>
            <w:r w:rsidRPr="00552CEE">
              <w:t>0.0</w:t>
            </w:r>
          </w:p>
        </w:tc>
        <w:tc>
          <w:tcPr>
            <w:tcW w:w="1361" w:type="dxa"/>
            <w:gridSpan w:val="2"/>
          </w:tcPr>
          <w:p w14:paraId="579A9E38" w14:textId="77777777" w:rsidR="008C276B" w:rsidRPr="00552CEE" w:rsidRDefault="008C276B" w:rsidP="00FE1B4E">
            <w:pPr>
              <w:jc w:val="center"/>
            </w:pPr>
          </w:p>
        </w:tc>
      </w:tr>
      <w:tr w:rsidR="008C276B" w:rsidRPr="00552CEE" w14:paraId="15492F54" w14:textId="61B4A980" w:rsidTr="008C276B">
        <w:tc>
          <w:tcPr>
            <w:tcW w:w="3236" w:type="dxa"/>
            <w:vAlign w:val="bottom"/>
          </w:tcPr>
          <w:p w14:paraId="11AD6E73" w14:textId="77777777" w:rsidR="008C276B" w:rsidRPr="00552CEE" w:rsidRDefault="008C276B" w:rsidP="00FE1B4E">
            <w:r w:rsidRPr="00552CEE">
              <w:t>Final SO income</w:t>
            </w:r>
          </w:p>
        </w:tc>
        <w:tc>
          <w:tcPr>
            <w:tcW w:w="1476" w:type="dxa"/>
            <w:gridSpan w:val="2"/>
          </w:tcPr>
          <w:p w14:paraId="4572F19E" w14:textId="46E3A840" w:rsidR="008C276B" w:rsidRPr="00552CEE" w:rsidRDefault="008C276B" w:rsidP="00FE1B4E">
            <w:pPr>
              <w:jc w:val="center"/>
            </w:pPr>
            <w:r w:rsidRPr="00552CEE">
              <w:t>0.6</w:t>
            </w:r>
          </w:p>
        </w:tc>
        <w:tc>
          <w:tcPr>
            <w:tcW w:w="1476" w:type="dxa"/>
            <w:gridSpan w:val="2"/>
          </w:tcPr>
          <w:p w14:paraId="65AC0AF2" w14:textId="5AEC7737" w:rsidR="008C276B" w:rsidRPr="00552CEE" w:rsidRDefault="008C276B" w:rsidP="00FE1B4E">
            <w:pPr>
              <w:jc w:val="center"/>
            </w:pPr>
            <w:r w:rsidRPr="00552CEE">
              <w:rPr>
                <w:color w:val="C00000" w:themeColor="accent4"/>
              </w:rPr>
              <w:t>-0.5</w:t>
            </w:r>
          </w:p>
        </w:tc>
        <w:tc>
          <w:tcPr>
            <w:tcW w:w="1477" w:type="dxa"/>
            <w:gridSpan w:val="2"/>
          </w:tcPr>
          <w:p w14:paraId="142CC9DF" w14:textId="568CF3E3" w:rsidR="008C276B" w:rsidRPr="00552CEE" w:rsidRDefault="008C276B" w:rsidP="00FE1B4E">
            <w:pPr>
              <w:jc w:val="center"/>
            </w:pPr>
            <w:r w:rsidRPr="00552CEE">
              <w:t>1.4</w:t>
            </w:r>
          </w:p>
        </w:tc>
        <w:tc>
          <w:tcPr>
            <w:tcW w:w="1361" w:type="dxa"/>
            <w:gridSpan w:val="2"/>
          </w:tcPr>
          <w:p w14:paraId="6AD78790" w14:textId="77777777" w:rsidR="008C276B" w:rsidRPr="00552CEE" w:rsidRDefault="008C276B" w:rsidP="00FE1B4E">
            <w:pPr>
              <w:jc w:val="center"/>
            </w:pPr>
          </w:p>
        </w:tc>
      </w:tr>
      <w:tr w:rsidR="008C276B" w:rsidRPr="00552CEE" w14:paraId="49956A43" w14:textId="69788703" w:rsidTr="008C276B">
        <w:tc>
          <w:tcPr>
            <w:tcW w:w="3236" w:type="dxa"/>
            <w:vAlign w:val="bottom"/>
          </w:tcPr>
          <w:p w14:paraId="42F54329" w14:textId="77777777" w:rsidR="008C276B" w:rsidRPr="00552CEE" w:rsidRDefault="008C276B" w:rsidP="00961745">
            <w:pPr>
              <w:rPr>
                <w:color w:val="AEAAAA" w:themeColor="background2" w:themeShade="BF"/>
              </w:rPr>
            </w:pPr>
            <w:r w:rsidRPr="00552CEE">
              <w:rPr>
                <w:color w:val="AEAAAA" w:themeColor="background2" w:themeShade="BF"/>
              </w:rPr>
              <w:t xml:space="preserve">Basecase final SO income </w:t>
            </w:r>
          </w:p>
        </w:tc>
        <w:tc>
          <w:tcPr>
            <w:tcW w:w="1476" w:type="dxa"/>
            <w:gridSpan w:val="2"/>
          </w:tcPr>
          <w:p w14:paraId="561E4AA5" w14:textId="1483CF2C" w:rsidR="008C276B" w:rsidRPr="00552CEE" w:rsidRDefault="008C276B" w:rsidP="00961745">
            <w:pPr>
              <w:jc w:val="center"/>
              <w:rPr>
                <w:color w:val="AEAAAA" w:themeColor="background2" w:themeShade="BF"/>
              </w:rPr>
            </w:pPr>
            <w:r w:rsidRPr="00552CEE">
              <w:rPr>
                <w:color w:val="AEAAAA" w:themeColor="background2" w:themeShade="BF"/>
              </w:rPr>
              <w:t>1.1</w:t>
            </w:r>
          </w:p>
        </w:tc>
        <w:tc>
          <w:tcPr>
            <w:tcW w:w="1476" w:type="dxa"/>
            <w:gridSpan w:val="2"/>
          </w:tcPr>
          <w:p w14:paraId="6322721B" w14:textId="2E5BFAF5" w:rsidR="008C276B" w:rsidRPr="00552CEE" w:rsidRDefault="008C276B" w:rsidP="00961745">
            <w:pPr>
              <w:jc w:val="center"/>
              <w:rPr>
                <w:color w:val="AEAAAA" w:themeColor="background2" w:themeShade="BF"/>
              </w:rPr>
            </w:pPr>
            <w:r w:rsidRPr="00552CEE">
              <w:rPr>
                <w:color w:val="AEAAAA" w:themeColor="background2" w:themeShade="BF"/>
              </w:rPr>
              <w:t>-0.3</w:t>
            </w:r>
          </w:p>
        </w:tc>
        <w:tc>
          <w:tcPr>
            <w:tcW w:w="1477" w:type="dxa"/>
            <w:gridSpan w:val="2"/>
          </w:tcPr>
          <w:p w14:paraId="3B8071AA" w14:textId="2A1E783D" w:rsidR="008C276B" w:rsidRPr="00552CEE" w:rsidRDefault="008C276B" w:rsidP="00961745">
            <w:pPr>
              <w:jc w:val="center"/>
              <w:rPr>
                <w:color w:val="AEAAAA" w:themeColor="background2" w:themeShade="BF"/>
              </w:rPr>
            </w:pPr>
            <w:r w:rsidRPr="00552CEE">
              <w:rPr>
                <w:color w:val="AEAAAA" w:themeColor="background2" w:themeShade="BF"/>
              </w:rPr>
              <w:t>1.6</w:t>
            </w:r>
          </w:p>
        </w:tc>
        <w:tc>
          <w:tcPr>
            <w:tcW w:w="1361" w:type="dxa"/>
            <w:gridSpan w:val="2"/>
          </w:tcPr>
          <w:p w14:paraId="4FE066EA" w14:textId="77777777" w:rsidR="008C276B" w:rsidRPr="00552CEE" w:rsidRDefault="008C276B" w:rsidP="00961745">
            <w:pPr>
              <w:jc w:val="center"/>
              <w:rPr>
                <w:color w:val="AEAAAA" w:themeColor="background2" w:themeShade="BF"/>
              </w:rPr>
            </w:pPr>
          </w:p>
        </w:tc>
      </w:tr>
      <w:tr w:rsidR="008C276B" w:rsidRPr="00552CEE" w14:paraId="0E514441" w14:textId="77777777" w:rsidTr="004E2AB3">
        <w:tc>
          <w:tcPr>
            <w:tcW w:w="3281" w:type="dxa"/>
            <w:gridSpan w:val="2"/>
            <w:vAlign w:val="bottom"/>
          </w:tcPr>
          <w:p w14:paraId="780C3E56" w14:textId="77777777" w:rsidR="00625C0B" w:rsidRDefault="00625C0B" w:rsidP="00625C0B">
            <w:r>
              <w:t>Cumulative lifetime income</w:t>
            </w:r>
          </w:p>
          <w:p w14:paraId="178F9FE9" w14:textId="08C0706B" w:rsidR="008C276B" w:rsidRPr="00552CEE" w:rsidRDefault="00625C0B" w:rsidP="00625C0B">
            <w:r>
              <w:t>(30 years, undiscounted)</w:t>
            </w:r>
          </w:p>
        </w:tc>
        <w:tc>
          <w:tcPr>
            <w:tcW w:w="1466" w:type="dxa"/>
            <w:gridSpan w:val="2"/>
          </w:tcPr>
          <w:p w14:paraId="7BF6744C" w14:textId="77777777" w:rsidR="008C276B" w:rsidRPr="00552CEE" w:rsidRDefault="008C276B" w:rsidP="004E2AB3">
            <w:pPr>
              <w:jc w:val="center"/>
            </w:pPr>
          </w:p>
        </w:tc>
        <w:tc>
          <w:tcPr>
            <w:tcW w:w="1466" w:type="dxa"/>
            <w:gridSpan w:val="2"/>
          </w:tcPr>
          <w:p w14:paraId="38D892D4" w14:textId="77777777" w:rsidR="008C276B" w:rsidRPr="00552CEE" w:rsidRDefault="008C276B" w:rsidP="004E2AB3">
            <w:pPr>
              <w:jc w:val="center"/>
              <w:rPr>
                <w:color w:val="C00000" w:themeColor="accent4"/>
              </w:rPr>
            </w:pPr>
          </w:p>
        </w:tc>
        <w:tc>
          <w:tcPr>
            <w:tcW w:w="1467" w:type="dxa"/>
            <w:gridSpan w:val="2"/>
          </w:tcPr>
          <w:p w14:paraId="6785955F" w14:textId="77777777" w:rsidR="008C276B" w:rsidRPr="00552CEE" w:rsidRDefault="008C276B" w:rsidP="004E2AB3">
            <w:pPr>
              <w:jc w:val="center"/>
            </w:pPr>
          </w:p>
        </w:tc>
        <w:tc>
          <w:tcPr>
            <w:tcW w:w="1346" w:type="dxa"/>
          </w:tcPr>
          <w:p w14:paraId="0AC04CDC" w14:textId="65A09C9E" w:rsidR="008C276B" w:rsidRPr="00552CEE" w:rsidRDefault="008C276B" w:rsidP="004E2AB3">
            <w:pPr>
              <w:jc w:val="center"/>
            </w:pPr>
            <w:r>
              <w:t>2</w:t>
            </w:r>
            <w:r w:rsidR="00625C0B">
              <w:t>0.5</w:t>
            </w:r>
          </w:p>
        </w:tc>
      </w:tr>
    </w:tbl>
    <w:p w14:paraId="33A96FA6" w14:textId="77777777" w:rsidR="00615C8E" w:rsidRPr="00552CEE" w:rsidRDefault="00615C8E" w:rsidP="00615C8E"/>
    <w:p w14:paraId="062D0DBF" w14:textId="0D749CD9" w:rsidR="00615C8E" w:rsidRPr="00552CEE" w:rsidRDefault="00615C8E" w:rsidP="00961745">
      <w:pPr>
        <w:pStyle w:val="Caption"/>
        <w:keepNext/>
        <w:jc w:val="center"/>
      </w:pPr>
      <w:r w:rsidRPr="00552CEE">
        <w:t xml:space="preserve">Table </w:t>
      </w:r>
      <w:fldSimple w:instr=" SEQ Table \* ARABIC ">
        <w:r w:rsidR="00BA359F">
          <w:rPr>
            <w:noProof/>
          </w:rPr>
          <w:t>11</w:t>
        </w:r>
      </w:fldSimple>
      <w:r w:rsidRPr="00552CEE">
        <w:t xml:space="preserve">: Cash flow waterfall for 2% equity stake in project-financed joint venture project </w:t>
      </w:r>
      <w:r w:rsidR="00961745" w:rsidRPr="00552CEE">
        <w:t>under market and regulatory headwinds sensitivity.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6"/>
        <w:gridCol w:w="45"/>
        <w:gridCol w:w="1431"/>
        <w:gridCol w:w="35"/>
        <w:gridCol w:w="1441"/>
        <w:gridCol w:w="25"/>
        <w:gridCol w:w="1452"/>
        <w:gridCol w:w="15"/>
        <w:gridCol w:w="1346"/>
      </w:tblGrid>
      <w:tr w:rsidR="008C276B" w:rsidRPr="00552CEE" w14:paraId="42106383" w14:textId="0AC70EF6" w:rsidTr="008C276B">
        <w:tc>
          <w:tcPr>
            <w:tcW w:w="3236" w:type="dxa"/>
            <w:shd w:val="clear" w:color="auto" w:fill="D0CECE" w:themeFill="background2" w:themeFillShade="E6"/>
          </w:tcPr>
          <w:p w14:paraId="09751515" w14:textId="77777777" w:rsidR="008C276B" w:rsidRPr="00552CEE" w:rsidRDefault="008C276B" w:rsidP="00995EE5">
            <w:pPr>
              <w:rPr>
                <w:i/>
                <w:iCs/>
              </w:rPr>
            </w:pPr>
            <w:r w:rsidRPr="00552CEE">
              <w:rPr>
                <w:i/>
                <w:iCs/>
                <w:sz w:val="20"/>
                <w:szCs w:val="20"/>
              </w:rPr>
              <w:t>Values in £million (2025, real, undiscounted)</w:t>
            </w:r>
          </w:p>
        </w:tc>
        <w:tc>
          <w:tcPr>
            <w:tcW w:w="1476" w:type="dxa"/>
            <w:gridSpan w:val="2"/>
            <w:shd w:val="clear" w:color="auto" w:fill="D0CECE" w:themeFill="background2" w:themeFillShade="E6"/>
          </w:tcPr>
          <w:p w14:paraId="6BB67F0C" w14:textId="77777777" w:rsidR="008C276B" w:rsidRPr="00552CEE" w:rsidRDefault="008C276B" w:rsidP="00995EE5">
            <w:pPr>
              <w:jc w:val="center"/>
            </w:pPr>
            <w:r w:rsidRPr="00552CEE">
              <w:t>2030</w:t>
            </w:r>
          </w:p>
        </w:tc>
        <w:tc>
          <w:tcPr>
            <w:tcW w:w="1476" w:type="dxa"/>
            <w:gridSpan w:val="2"/>
            <w:shd w:val="clear" w:color="auto" w:fill="D0CECE" w:themeFill="background2" w:themeFillShade="E6"/>
          </w:tcPr>
          <w:p w14:paraId="5334E6F2" w14:textId="77777777" w:rsidR="008C276B" w:rsidRPr="00552CEE" w:rsidRDefault="008C276B" w:rsidP="00995EE5">
            <w:pPr>
              <w:jc w:val="center"/>
            </w:pPr>
            <w:r w:rsidRPr="00552CEE">
              <w:t>2043</w:t>
            </w:r>
          </w:p>
        </w:tc>
        <w:tc>
          <w:tcPr>
            <w:tcW w:w="1477" w:type="dxa"/>
            <w:gridSpan w:val="2"/>
            <w:shd w:val="clear" w:color="auto" w:fill="D0CECE" w:themeFill="background2" w:themeFillShade="E6"/>
          </w:tcPr>
          <w:p w14:paraId="2F8CA7DC" w14:textId="77777777" w:rsidR="008C276B" w:rsidRPr="00552CEE" w:rsidRDefault="008C276B" w:rsidP="00995EE5">
            <w:pPr>
              <w:jc w:val="center"/>
            </w:pPr>
            <w:r w:rsidRPr="00552CEE">
              <w:t>2048</w:t>
            </w:r>
          </w:p>
        </w:tc>
        <w:tc>
          <w:tcPr>
            <w:tcW w:w="1361" w:type="dxa"/>
            <w:gridSpan w:val="2"/>
            <w:shd w:val="clear" w:color="auto" w:fill="D0CECE" w:themeFill="background2" w:themeFillShade="E6"/>
          </w:tcPr>
          <w:p w14:paraId="11959F0E" w14:textId="53E2FBFA" w:rsidR="008C276B" w:rsidRPr="00552CEE" w:rsidRDefault="00625C0B" w:rsidP="00995EE5">
            <w:pPr>
              <w:jc w:val="center"/>
            </w:pPr>
            <w:r>
              <w:t>2028-58</w:t>
            </w:r>
          </w:p>
        </w:tc>
      </w:tr>
      <w:tr w:rsidR="008C276B" w:rsidRPr="00552CEE" w14:paraId="33CBB33D" w14:textId="34038B97" w:rsidTr="008C276B">
        <w:tc>
          <w:tcPr>
            <w:tcW w:w="3236" w:type="dxa"/>
          </w:tcPr>
          <w:p w14:paraId="09C66219" w14:textId="3AD0A672" w:rsidR="008C276B" w:rsidRPr="00552CEE" w:rsidRDefault="008C276B" w:rsidP="00995EE5">
            <w:r w:rsidRPr="00552CEE">
              <w:t xml:space="preserve">Upfront stake: £30million </w:t>
            </w:r>
          </w:p>
          <w:p w14:paraId="1AAE13D4" w14:textId="77777777" w:rsidR="008C276B" w:rsidRPr="00552CEE" w:rsidRDefault="008C276B" w:rsidP="00995EE5">
            <w:r w:rsidRPr="00552CEE">
              <w:t>(2% of equity in Joint Venture SPV)</w:t>
            </w:r>
          </w:p>
        </w:tc>
        <w:tc>
          <w:tcPr>
            <w:tcW w:w="1476" w:type="dxa"/>
            <w:gridSpan w:val="2"/>
          </w:tcPr>
          <w:p w14:paraId="233B6F14" w14:textId="77777777" w:rsidR="008C276B" w:rsidRPr="00552CEE" w:rsidRDefault="008C276B" w:rsidP="00995EE5">
            <w:pPr>
              <w:jc w:val="center"/>
            </w:pPr>
          </w:p>
        </w:tc>
        <w:tc>
          <w:tcPr>
            <w:tcW w:w="1476" w:type="dxa"/>
            <w:gridSpan w:val="2"/>
          </w:tcPr>
          <w:p w14:paraId="3A211B8C" w14:textId="77777777" w:rsidR="008C276B" w:rsidRPr="00552CEE" w:rsidRDefault="008C276B" w:rsidP="00995EE5">
            <w:pPr>
              <w:jc w:val="center"/>
            </w:pPr>
          </w:p>
        </w:tc>
        <w:tc>
          <w:tcPr>
            <w:tcW w:w="1477" w:type="dxa"/>
            <w:gridSpan w:val="2"/>
          </w:tcPr>
          <w:p w14:paraId="232A9610" w14:textId="77777777" w:rsidR="008C276B" w:rsidRPr="00552CEE" w:rsidRDefault="008C276B" w:rsidP="00995EE5">
            <w:pPr>
              <w:jc w:val="center"/>
            </w:pPr>
          </w:p>
        </w:tc>
        <w:tc>
          <w:tcPr>
            <w:tcW w:w="1361" w:type="dxa"/>
            <w:gridSpan w:val="2"/>
          </w:tcPr>
          <w:p w14:paraId="070EFFD8" w14:textId="77777777" w:rsidR="008C276B" w:rsidRPr="00552CEE" w:rsidRDefault="008C276B" w:rsidP="00995EE5">
            <w:pPr>
              <w:jc w:val="center"/>
            </w:pPr>
          </w:p>
        </w:tc>
      </w:tr>
      <w:tr w:rsidR="008C276B" w:rsidRPr="00552CEE" w14:paraId="6F3CD89D" w14:textId="6579A8BB" w:rsidTr="008C276B">
        <w:tc>
          <w:tcPr>
            <w:tcW w:w="3236" w:type="dxa"/>
            <w:vAlign w:val="bottom"/>
          </w:tcPr>
          <w:p w14:paraId="28A7F351" w14:textId="77777777" w:rsidR="008C276B" w:rsidRPr="00552CEE" w:rsidRDefault="008C276B" w:rsidP="00465C78">
            <w:r w:rsidRPr="00552CEE">
              <w:t>Revenue</w:t>
            </w:r>
          </w:p>
        </w:tc>
        <w:tc>
          <w:tcPr>
            <w:tcW w:w="1476" w:type="dxa"/>
            <w:gridSpan w:val="2"/>
          </w:tcPr>
          <w:p w14:paraId="4E2E4131" w14:textId="177ED45E" w:rsidR="008C276B" w:rsidRPr="00552CEE" w:rsidRDefault="008C276B" w:rsidP="00465C78">
            <w:pPr>
              <w:jc w:val="center"/>
            </w:pPr>
            <w:r w:rsidRPr="00552CEE">
              <w:t>6.6</w:t>
            </w:r>
          </w:p>
        </w:tc>
        <w:tc>
          <w:tcPr>
            <w:tcW w:w="1476" w:type="dxa"/>
            <w:gridSpan w:val="2"/>
          </w:tcPr>
          <w:p w14:paraId="5F87DBAD" w14:textId="2FDC8FA5" w:rsidR="008C276B" w:rsidRPr="00552CEE" w:rsidRDefault="008C276B" w:rsidP="00465C78">
            <w:pPr>
              <w:jc w:val="center"/>
            </w:pPr>
            <w:r w:rsidRPr="00552CEE">
              <w:t>4.3</w:t>
            </w:r>
          </w:p>
        </w:tc>
        <w:tc>
          <w:tcPr>
            <w:tcW w:w="1477" w:type="dxa"/>
            <w:gridSpan w:val="2"/>
          </w:tcPr>
          <w:p w14:paraId="7A0364BE" w14:textId="24688F17" w:rsidR="008C276B" w:rsidRPr="00552CEE" w:rsidRDefault="008C276B" w:rsidP="00465C78">
            <w:pPr>
              <w:jc w:val="center"/>
            </w:pPr>
            <w:r w:rsidRPr="00552CEE">
              <w:t>4.4</w:t>
            </w:r>
          </w:p>
        </w:tc>
        <w:tc>
          <w:tcPr>
            <w:tcW w:w="1361" w:type="dxa"/>
            <w:gridSpan w:val="2"/>
          </w:tcPr>
          <w:p w14:paraId="074AEEAB" w14:textId="77777777" w:rsidR="008C276B" w:rsidRPr="00552CEE" w:rsidRDefault="008C276B" w:rsidP="00465C78">
            <w:pPr>
              <w:jc w:val="center"/>
            </w:pPr>
          </w:p>
        </w:tc>
      </w:tr>
      <w:tr w:rsidR="008C276B" w:rsidRPr="00552CEE" w14:paraId="3D6D6D0D" w14:textId="60B2DCB4" w:rsidTr="008C276B">
        <w:tc>
          <w:tcPr>
            <w:tcW w:w="3236" w:type="dxa"/>
            <w:vAlign w:val="bottom"/>
          </w:tcPr>
          <w:p w14:paraId="0C4EE82A" w14:textId="77777777" w:rsidR="008C276B" w:rsidRPr="00552CEE" w:rsidRDefault="008C276B" w:rsidP="00465C78">
            <w:r w:rsidRPr="00552CEE">
              <w:t>Operating Costs</w:t>
            </w:r>
          </w:p>
        </w:tc>
        <w:tc>
          <w:tcPr>
            <w:tcW w:w="1476" w:type="dxa"/>
            <w:gridSpan w:val="2"/>
          </w:tcPr>
          <w:p w14:paraId="4A2D40BD" w14:textId="5357F9D2" w:rsidR="008C276B" w:rsidRPr="00552CEE" w:rsidRDefault="008C276B" w:rsidP="00465C78">
            <w:pPr>
              <w:jc w:val="center"/>
            </w:pPr>
            <w:r w:rsidRPr="00552CEE">
              <w:t>1.6</w:t>
            </w:r>
          </w:p>
        </w:tc>
        <w:tc>
          <w:tcPr>
            <w:tcW w:w="1476" w:type="dxa"/>
            <w:gridSpan w:val="2"/>
          </w:tcPr>
          <w:p w14:paraId="45197651" w14:textId="37089CA1" w:rsidR="008C276B" w:rsidRPr="00552CEE" w:rsidRDefault="008C276B" w:rsidP="00465C78">
            <w:pPr>
              <w:jc w:val="center"/>
            </w:pPr>
            <w:r w:rsidRPr="00552CEE">
              <w:t>1.6</w:t>
            </w:r>
          </w:p>
        </w:tc>
        <w:tc>
          <w:tcPr>
            <w:tcW w:w="1477" w:type="dxa"/>
            <w:gridSpan w:val="2"/>
          </w:tcPr>
          <w:p w14:paraId="7CDCCB3A" w14:textId="673CD116" w:rsidR="008C276B" w:rsidRPr="00552CEE" w:rsidRDefault="008C276B" w:rsidP="00465C78">
            <w:pPr>
              <w:jc w:val="center"/>
            </w:pPr>
            <w:r w:rsidRPr="00552CEE">
              <w:t>1.6</w:t>
            </w:r>
          </w:p>
        </w:tc>
        <w:tc>
          <w:tcPr>
            <w:tcW w:w="1361" w:type="dxa"/>
            <w:gridSpan w:val="2"/>
          </w:tcPr>
          <w:p w14:paraId="48C9C347" w14:textId="77777777" w:rsidR="008C276B" w:rsidRPr="00552CEE" w:rsidRDefault="008C276B" w:rsidP="00465C78">
            <w:pPr>
              <w:jc w:val="center"/>
            </w:pPr>
          </w:p>
        </w:tc>
      </w:tr>
      <w:tr w:rsidR="008C276B" w:rsidRPr="00552CEE" w14:paraId="0689F0B5" w14:textId="7F55451E" w:rsidTr="008C276B">
        <w:tc>
          <w:tcPr>
            <w:tcW w:w="3236" w:type="dxa"/>
            <w:vAlign w:val="bottom"/>
          </w:tcPr>
          <w:p w14:paraId="29FD64AA" w14:textId="77777777" w:rsidR="008C276B" w:rsidRPr="00552CEE" w:rsidRDefault="008C276B" w:rsidP="00465C78">
            <w:r w:rsidRPr="00552CEE">
              <w:t>Commercial debt servicing</w:t>
            </w:r>
          </w:p>
        </w:tc>
        <w:tc>
          <w:tcPr>
            <w:tcW w:w="1476" w:type="dxa"/>
            <w:gridSpan w:val="2"/>
          </w:tcPr>
          <w:p w14:paraId="790B9888" w14:textId="3B7DF111" w:rsidR="008C276B" w:rsidRPr="00552CEE" w:rsidRDefault="008C276B" w:rsidP="00465C78">
            <w:pPr>
              <w:jc w:val="center"/>
            </w:pPr>
            <w:r w:rsidRPr="00552CEE">
              <w:t>4.1</w:t>
            </w:r>
          </w:p>
        </w:tc>
        <w:tc>
          <w:tcPr>
            <w:tcW w:w="1476" w:type="dxa"/>
            <w:gridSpan w:val="2"/>
          </w:tcPr>
          <w:p w14:paraId="4CE7A43F" w14:textId="3706443B" w:rsidR="008C276B" w:rsidRPr="00552CEE" w:rsidRDefault="008C276B" w:rsidP="00465C78">
            <w:pPr>
              <w:jc w:val="center"/>
            </w:pPr>
            <w:r w:rsidRPr="00552CEE">
              <w:t>0.0</w:t>
            </w:r>
          </w:p>
        </w:tc>
        <w:tc>
          <w:tcPr>
            <w:tcW w:w="1477" w:type="dxa"/>
            <w:gridSpan w:val="2"/>
          </w:tcPr>
          <w:p w14:paraId="6D94F50D" w14:textId="3A863E4B" w:rsidR="008C276B" w:rsidRPr="00552CEE" w:rsidRDefault="008C276B" w:rsidP="00465C78">
            <w:pPr>
              <w:jc w:val="center"/>
            </w:pPr>
            <w:r w:rsidRPr="00552CEE">
              <w:t>0.0</w:t>
            </w:r>
          </w:p>
        </w:tc>
        <w:tc>
          <w:tcPr>
            <w:tcW w:w="1361" w:type="dxa"/>
            <w:gridSpan w:val="2"/>
          </w:tcPr>
          <w:p w14:paraId="0549974C" w14:textId="77777777" w:rsidR="008C276B" w:rsidRPr="00552CEE" w:rsidRDefault="008C276B" w:rsidP="00465C78">
            <w:pPr>
              <w:jc w:val="center"/>
            </w:pPr>
          </w:p>
        </w:tc>
      </w:tr>
      <w:tr w:rsidR="008C276B" w:rsidRPr="00552CEE" w14:paraId="65AA6A38" w14:textId="733DFAC6" w:rsidTr="008C276B">
        <w:tc>
          <w:tcPr>
            <w:tcW w:w="3236" w:type="dxa"/>
            <w:vAlign w:val="bottom"/>
          </w:tcPr>
          <w:p w14:paraId="74E40254" w14:textId="77777777" w:rsidR="008C276B" w:rsidRPr="00552CEE" w:rsidRDefault="008C276B" w:rsidP="00465C78">
            <w:r w:rsidRPr="00552CEE">
              <w:t>Cash flow from project to SO</w:t>
            </w:r>
          </w:p>
        </w:tc>
        <w:tc>
          <w:tcPr>
            <w:tcW w:w="1476" w:type="dxa"/>
            <w:gridSpan w:val="2"/>
          </w:tcPr>
          <w:p w14:paraId="6A3A41A8" w14:textId="547048CE" w:rsidR="008C276B" w:rsidRPr="00552CEE" w:rsidRDefault="008C276B" w:rsidP="00465C78">
            <w:pPr>
              <w:jc w:val="center"/>
            </w:pPr>
            <w:r w:rsidRPr="00552CEE">
              <w:t>0.9</w:t>
            </w:r>
          </w:p>
        </w:tc>
        <w:tc>
          <w:tcPr>
            <w:tcW w:w="1476" w:type="dxa"/>
            <w:gridSpan w:val="2"/>
          </w:tcPr>
          <w:p w14:paraId="57F5AEA9" w14:textId="62A8C77F" w:rsidR="008C276B" w:rsidRPr="00552CEE" w:rsidRDefault="008C276B" w:rsidP="00465C78">
            <w:pPr>
              <w:jc w:val="center"/>
            </w:pPr>
            <w:r w:rsidRPr="00552CEE">
              <w:t>2.7</w:t>
            </w:r>
          </w:p>
        </w:tc>
        <w:tc>
          <w:tcPr>
            <w:tcW w:w="1477" w:type="dxa"/>
            <w:gridSpan w:val="2"/>
          </w:tcPr>
          <w:p w14:paraId="073A6110" w14:textId="40988B12" w:rsidR="008C276B" w:rsidRPr="00552CEE" w:rsidRDefault="008C276B" w:rsidP="00465C78">
            <w:pPr>
              <w:jc w:val="center"/>
            </w:pPr>
            <w:r w:rsidRPr="00552CEE">
              <w:t>2.8</w:t>
            </w:r>
          </w:p>
        </w:tc>
        <w:tc>
          <w:tcPr>
            <w:tcW w:w="1361" w:type="dxa"/>
            <w:gridSpan w:val="2"/>
          </w:tcPr>
          <w:p w14:paraId="2BCA78AA" w14:textId="77777777" w:rsidR="008C276B" w:rsidRPr="00552CEE" w:rsidRDefault="008C276B" w:rsidP="00465C78">
            <w:pPr>
              <w:jc w:val="center"/>
            </w:pPr>
          </w:p>
        </w:tc>
      </w:tr>
      <w:tr w:rsidR="008C276B" w:rsidRPr="00552CEE" w14:paraId="3DF9B4A0" w14:textId="1183D99E" w:rsidTr="008C276B">
        <w:tc>
          <w:tcPr>
            <w:tcW w:w="3236" w:type="dxa"/>
            <w:vAlign w:val="bottom"/>
          </w:tcPr>
          <w:p w14:paraId="55B9C427" w14:textId="77777777" w:rsidR="008C276B" w:rsidRPr="00552CEE" w:rsidRDefault="008C276B" w:rsidP="00465C78">
            <w:r w:rsidRPr="00552CEE">
              <w:t>Public Sector loan servicing</w:t>
            </w:r>
          </w:p>
        </w:tc>
        <w:tc>
          <w:tcPr>
            <w:tcW w:w="1476" w:type="dxa"/>
            <w:gridSpan w:val="2"/>
          </w:tcPr>
          <w:p w14:paraId="52A6F5E4" w14:textId="4BA24641" w:rsidR="008C276B" w:rsidRPr="00552CEE" w:rsidRDefault="008C276B" w:rsidP="00465C78">
            <w:pPr>
              <w:jc w:val="center"/>
            </w:pPr>
            <w:r w:rsidRPr="00552CEE">
              <w:t>1.5</w:t>
            </w:r>
          </w:p>
        </w:tc>
        <w:tc>
          <w:tcPr>
            <w:tcW w:w="1476" w:type="dxa"/>
            <w:gridSpan w:val="2"/>
          </w:tcPr>
          <w:p w14:paraId="6A3410FB" w14:textId="34DFDB51" w:rsidR="008C276B" w:rsidRPr="00552CEE" w:rsidRDefault="008C276B" w:rsidP="00465C78">
            <w:pPr>
              <w:jc w:val="center"/>
            </w:pPr>
            <w:r w:rsidRPr="00552CEE">
              <w:t>1.5</w:t>
            </w:r>
          </w:p>
        </w:tc>
        <w:tc>
          <w:tcPr>
            <w:tcW w:w="1477" w:type="dxa"/>
            <w:gridSpan w:val="2"/>
          </w:tcPr>
          <w:p w14:paraId="6A7C4F43" w14:textId="54537395" w:rsidR="008C276B" w:rsidRPr="00552CEE" w:rsidRDefault="008C276B" w:rsidP="00465C78">
            <w:pPr>
              <w:jc w:val="center"/>
            </w:pPr>
            <w:r w:rsidRPr="00552CEE">
              <w:t>0.0</w:t>
            </w:r>
          </w:p>
        </w:tc>
        <w:tc>
          <w:tcPr>
            <w:tcW w:w="1361" w:type="dxa"/>
            <w:gridSpan w:val="2"/>
          </w:tcPr>
          <w:p w14:paraId="0A403D4C" w14:textId="77777777" w:rsidR="008C276B" w:rsidRPr="00552CEE" w:rsidRDefault="008C276B" w:rsidP="00465C78">
            <w:pPr>
              <w:jc w:val="center"/>
            </w:pPr>
          </w:p>
        </w:tc>
      </w:tr>
      <w:tr w:rsidR="008C276B" w:rsidRPr="00552CEE" w14:paraId="1CB368D3" w14:textId="5D7C373E" w:rsidTr="008C276B">
        <w:trPr>
          <w:trHeight w:val="44"/>
        </w:trPr>
        <w:tc>
          <w:tcPr>
            <w:tcW w:w="3236" w:type="dxa"/>
            <w:vAlign w:val="bottom"/>
          </w:tcPr>
          <w:p w14:paraId="2F933E8F" w14:textId="77777777" w:rsidR="008C276B" w:rsidRPr="00552CEE" w:rsidRDefault="008C276B" w:rsidP="00465C78">
            <w:r w:rsidRPr="00552CEE">
              <w:t>Final SO income</w:t>
            </w:r>
          </w:p>
        </w:tc>
        <w:tc>
          <w:tcPr>
            <w:tcW w:w="1476" w:type="dxa"/>
            <w:gridSpan w:val="2"/>
          </w:tcPr>
          <w:p w14:paraId="3ED3C506" w14:textId="518EB7AC" w:rsidR="008C276B" w:rsidRPr="00552CEE" w:rsidRDefault="008C276B" w:rsidP="00465C78">
            <w:pPr>
              <w:jc w:val="center"/>
              <w:rPr>
                <w:color w:val="C00000" w:themeColor="accent4"/>
              </w:rPr>
            </w:pPr>
            <w:r w:rsidRPr="00552CEE">
              <w:rPr>
                <w:color w:val="C00000" w:themeColor="accent4"/>
              </w:rPr>
              <w:t>-0.6</w:t>
            </w:r>
          </w:p>
        </w:tc>
        <w:tc>
          <w:tcPr>
            <w:tcW w:w="1476" w:type="dxa"/>
            <w:gridSpan w:val="2"/>
          </w:tcPr>
          <w:p w14:paraId="5D3A3F2F" w14:textId="26FDE34E" w:rsidR="008C276B" w:rsidRPr="00552CEE" w:rsidRDefault="008C276B" w:rsidP="00465C78">
            <w:pPr>
              <w:jc w:val="center"/>
              <w:rPr>
                <w:color w:val="C00000" w:themeColor="accent4"/>
              </w:rPr>
            </w:pPr>
            <w:r w:rsidRPr="00552CEE">
              <w:t>1.2</w:t>
            </w:r>
          </w:p>
        </w:tc>
        <w:tc>
          <w:tcPr>
            <w:tcW w:w="1477" w:type="dxa"/>
            <w:gridSpan w:val="2"/>
          </w:tcPr>
          <w:p w14:paraId="1E96DD45" w14:textId="7DB0A355" w:rsidR="008C276B" w:rsidRPr="00552CEE" w:rsidRDefault="008C276B" w:rsidP="00465C78">
            <w:pPr>
              <w:jc w:val="center"/>
            </w:pPr>
            <w:r w:rsidRPr="00552CEE">
              <w:t>2.8</w:t>
            </w:r>
          </w:p>
        </w:tc>
        <w:tc>
          <w:tcPr>
            <w:tcW w:w="1361" w:type="dxa"/>
            <w:gridSpan w:val="2"/>
          </w:tcPr>
          <w:p w14:paraId="01602CEE" w14:textId="77777777" w:rsidR="008C276B" w:rsidRPr="00552CEE" w:rsidRDefault="008C276B" w:rsidP="00465C78">
            <w:pPr>
              <w:jc w:val="center"/>
            </w:pPr>
          </w:p>
        </w:tc>
      </w:tr>
      <w:tr w:rsidR="008C276B" w:rsidRPr="00552CEE" w14:paraId="65849573" w14:textId="61A84D0C" w:rsidTr="008C276B">
        <w:trPr>
          <w:trHeight w:val="44"/>
        </w:trPr>
        <w:tc>
          <w:tcPr>
            <w:tcW w:w="3236" w:type="dxa"/>
            <w:vAlign w:val="bottom"/>
          </w:tcPr>
          <w:p w14:paraId="309EDDFF" w14:textId="4335672F" w:rsidR="008C276B" w:rsidRPr="00552CEE" w:rsidRDefault="008C276B" w:rsidP="008651BA">
            <w:r w:rsidRPr="00552CEE">
              <w:rPr>
                <w:color w:val="A6A6A6" w:themeColor="background1" w:themeShade="A6"/>
              </w:rPr>
              <w:t>Basecase final SO income</w:t>
            </w:r>
          </w:p>
        </w:tc>
        <w:tc>
          <w:tcPr>
            <w:tcW w:w="1476" w:type="dxa"/>
            <w:gridSpan w:val="2"/>
          </w:tcPr>
          <w:p w14:paraId="59B745B2" w14:textId="697A2212" w:rsidR="008C276B" w:rsidRPr="00552CEE" w:rsidRDefault="008C276B" w:rsidP="008651BA">
            <w:pPr>
              <w:jc w:val="center"/>
              <w:rPr>
                <w:color w:val="C00000" w:themeColor="accent4"/>
              </w:rPr>
            </w:pPr>
            <w:r w:rsidRPr="00552CEE">
              <w:rPr>
                <w:color w:val="A6A6A6" w:themeColor="background1" w:themeShade="A6"/>
              </w:rPr>
              <w:t>0.3</w:t>
            </w:r>
          </w:p>
        </w:tc>
        <w:tc>
          <w:tcPr>
            <w:tcW w:w="1476" w:type="dxa"/>
            <w:gridSpan w:val="2"/>
          </w:tcPr>
          <w:p w14:paraId="66F99122" w14:textId="1D89EF3C" w:rsidR="008C276B" w:rsidRPr="00552CEE" w:rsidRDefault="008C276B" w:rsidP="008651BA">
            <w:pPr>
              <w:jc w:val="center"/>
              <w:rPr>
                <w:color w:val="C00000" w:themeColor="accent4"/>
              </w:rPr>
            </w:pPr>
            <w:r w:rsidRPr="00552CEE">
              <w:rPr>
                <w:color w:val="A6A6A6" w:themeColor="background1" w:themeShade="A6"/>
              </w:rPr>
              <w:t>1.7</w:t>
            </w:r>
          </w:p>
        </w:tc>
        <w:tc>
          <w:tcPr>
            <w:tcW w:w="1477" w:type="dxa"/>
            <w:gridSpan w:val="2"/>
          </w:tcPr>
          <w:p w14:paraId="0F41AC88" w14:textId="02713DEF" w:rsidR="008C276B" w:rsidRPr="00552CEE" w:rsidRDefault="008C276B" w:rsidP="008651BA">
            <w:pPr>
              <w:jc w:val="center"/>
            </w:pPr>
            <w:r w:rsidRPr="00552CEE">
              <w:rPr>
                <w:color w:val="A6A6A6" w:themeColor="background1" w:themeShade="A6"/>
              </w:rPr>
              <w:t>3.2</w:t>
            </w:r>
          </w:p>
        </w:tc>
        <w:tc>
          <w:tcPr>
            <w:tcW w:w="1361" w:type="dxa"/>
            <w:gridSpan w:val="2"/>
          </w:tcPr>
          <w:p w14:paraId="10A0B41C" w14:textId="77777777" w:rsidR="008C276B" w:rsidRPr="00552CEE" w:rsidRDefault="008C276B" w:rsidP="008651BA">
            <w:pPr>
              <w:jc w:val="center"/>
              <w:rPr>
                <w:color w:val="A6A6A6" w:themeColor="background1" w:themeShade="A6"/>
              </w:rPr>
            </w:pPr>
          </w:p>
        </w:tc>
      </w:tr>
      <w:tr w:rsidR="008C276B" w:rsidRPr="00552CEE" w14:paraId="35702902" w14:textId="77777777" w:rsidTr="004E2AB3">
        <w:tc>
          <w:tcPr>
            <w:tcW w:w="3281" w:type="dxa"/>
            <w:gridSpan w:val="2"/>
            <w:vAlign w:val="bottom"/>
          </w:tcPr>
          <w:p w14:paraId="3862F937" w14:textId="77777777" w:rsidR="00625C0B" w:rsidRDefault="00625C0B" w:rsidP="00625C0B">
            <w:r>
              <w:t>Cumulative lifetime income</w:t>
            </w:r>
          </w:p>
          <w:p w14:paraId="3446B653" w14:textId="47FF7DAF" w:rsidR="008C276B" w:rsidRPr="00552CEE" w:rsidRDefault="00625C0B" w:rsidP="00625C0B">
            <w:r>
              <w:t>(30 years, undiscounted)</w:t>
            </w:r>
          </w:p>
        </w:tc>
        <w:tc>
          <w:tcPr>
            <w:tcW w:w="1466" w:type="dxa"/>
            <w:gridSpan w:val="2"/>
          </w:tcPr>
          <w:p w14:paraId="17CD52DD" w14:textId="77777777" w:rsidR="008C276B" w:rsidRPr="00552CEE" w:rsidRDefault="008C276B" w:rsidP="004E2AB3">
            <w:pPr>
              <w:jc w:val="center"/>
            </w:pPr>
          </w:p>
        </w:tc>
        <w:tc>
          <w:tcPr>
            <w:tcW w:w="1466" w:type="dxa"/>
            <w:gridSpan w:val="2"/>
          </w:tcPr>
          <w:p w14:paraId="3AF0B16A" w14:textId="77777777" w:rsidR="008C276B" w:rsidRPr="00552CEE" w:rsidRDefault="008C276B" w:rsidP="004E2AB3">
            <w:pPr>
              <w:jc w:val="center"/>
              <w:rPr>
                <w:color w:val="C00000" w:themeColor="accent4"/>
              </w:rPr>
            </w:pPr>
          </w:p>
        </w:tc>
        <w:tc>
          <w:tcPr>
            <w:tcW w:w="1467" w:type="dxa"/>
            <w:gridSpan w:val="2"/>
          </w:tcPr>
          <w:p w14:paraId="3ED31423" w14:textId="77777777" w:rsidR="008C276B" w:rsidRPr="00552CEE" w:rsidRDefault="008C276B" w:rsidP="004E2AB3">
            <w:pPr>
              <w:jc w:val="center"/>
            </w:pPr>
          </w:p>
        </w:tc>
        <w:tc>
          <w:tcPr>
            <w:tcW w:w="1346" w:type="dxa"/>
          </w:tcPr>
          <w:p w14:paraId="42B85A62" w14:textId="3FFE9229" w:rsidR="008C276B" w:rsidRPr="00552CEE" w:rsidRDefault="008C276B" w:rsidP="004E2AB3">
            <w:pPr>
              <w:jc w:val="center"/>
            </w:pPr>
            <w:r>
              <w:t>2</w:t>
            </w:r>
            <w:r>
              <w:t>5</w:t>
            </w:r>
            <w:r w:rsidR="00625C0B">
              <w:t>.0</w:t>
            </w:r>
          </w:p>
        </w:tc>
      </w:tr>
    </w:tbl>
    <w:p w14:paraId="62E03ACA" w14:textId="77777777" w:rsidR="00710FC3" w:rsidRPr="00552CEE" w:rsidRDefault="00710FC3" w:rsidP="00615C8E"/>
    <w:p w14:paraId="26734864" w14:textId="00E3F4A0" w:rsidR="00710FC3" w:rsidRPr="00552CEE" w:rsidRDefault="00710FC3" w:rsidP="00615C8E">
      <w:r w:rsidRPr="00552CEE">
        <w:t xml:space="preserve">In the </w:t>
      </w:r>
      <w:r w:rsidR="007269B5">
        <w:t xml:space="preserve">balance sheet </w:t>
      </w:r>
      <w:r w:rsidRPr="00552CEE">
        <w:t>ownership case</w:t>
      </w:r>
      <w:r w:rsidR="009B4570" w:rsidRPr="00552CEE">
        <w:t xml:space="preserve">, the changes mean that SO income is reduced and becomes more substantially negative in 2043. In the project-finance ownership case, </w:t>
      </w:r>
      <w:r w:rsidR="00310B81" w:rsidRPr="00552CEE">
        <w:t xml:space="preserve">net </w:t>
      </w:r>
      <w:r w:rsidR="009B4570" w:rsidRPr="00552CEE">
        <w:t xml:space="preserve">revenue is </w:t>
      </w:r>
      <w:r w:rsidR="00FB31E8" w:rsidRPr="00552CEE">
        <w:t xml:space="preserve">significantly </w:t>
      </w:r>
      <w:r w:rsidR="009B4570" w:rsidRPr="00552CEE">
        <w:t xml:space="preserve">negative throughout the </w:t>
      </w:r>
      <w:r w:rsidR="00437900" w:rsidRPr="00552CEE">
        <w:t xml:space="preserve">CfD </w:t>
      </w:r>
      <w:r w:rsidR="00243F0D" w:rsidRPr="00552CEE">
        <w:t xml:space="preserve">representing a loss to the </w:t>
      </w:r>
      <w:r w:rsidR="009F3D2D" w:rsidRPr="00552CEE">
        <w:t>SO company for the first 15 years of operation</w:t>
      </w:r>
      <w:r w:rsidR="00437900" w:rsidRPr="00552CEE">
        <w:t xml:space="preserve">. </w:t>
      </w:r>
    </w:p>
    <w:p w14:paraId="5E113848" w14:textId="2192CAD0" w:rsidR="00615C8E" w:rsidRPr="00552CEE" w:rsidRDefault="00C6663A" w:rsidP="00C6663A">
      <w:pPr>
        <w:pStyle w:val="Heading3"/>
      </w:pPr>
      <w:r w:rsidRPr="00552CEE">
        <w:t>Zero interest public sector loan</w:t>
      </w:r>
    </w:p>
    <w:p w14:paraId="2EFD9C85" w14:textId="2DF0F22E" w:rsidR="005772C7" w:rsidRPr="00552CEE" w:rsidRDefault="00727AB0" w:rsidP="005772C7">
      <w:r w:rsidRPr="00552CEE">
        <w:t>This scenario reduces the interest rate on the public sector loan from 2% to zero in real terms. Annual repayments increase only in line with inflation, with no additional interest charge. This reduces finance costs to the SO Company by around £7 million over the first 20 years.</w:t>
      </w:r>
      <w:r w:rsidR="00332C44" w:rsidRPr="00552CEE">
        <w:t xml:space="preserve"> </w:t>
      </w:r>
    </w:p>
    <w:p w14:paraId="37612C2D" w14:textId="193E07E4" w:rsidR="00C6663A" w:rsidRPr="00552CEE" w:rsidRDefault="00C6663A" w:rsidP="00C6663A">
      <w:pPr>
        <w:pStyle w:val="Caption"/>
        <w:keepNext/>
        <w:jc w:val="center"/>
      </w:pPr>
      <w:r w:rsidRPr="00552CEE">
        <w:t xml:space="preserve">Table </w:t>
      </w:r>
      <w:fldSimple w:instr=" SEQ Table \* ARABIC ">
        <w:r w:rsidR="00BA359F">
          <w:rPr>
            <w:noProof/>
          </w:rPr>
          <w:t>12</w:t>
        </w:r>
      </w:fldSimple>
      <w:r w:rsidRPr="00552CEE">
        <w:t xml:space="preserve">: Cash flow waterfall for 1% equity stake in commercial balance sheet project </w:t>
      </w:r>
      <w:r w:rsidR="00455B86" w:rsidRPr="00552CEE">
        <w:t>under the zero interest public sector loan sensitivity.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6"/>
        <w:gridCol w:w="45"/>
        <w:gridCol w:w="1431"/>
        <w:gridCol w:w="35"/>
        <w:gridCol w:w="1441"/>
        <w:gridCol w:w="25"/>
        <w:gridCol w:w="1452"/>
        <w:gridCol w:w="15"/>
        <w:gridCol w:w="1346"/>
      </w:tblGrid>
      <w:tr w:rsidR="00625C0B" w:rsidRPr="00552CEE" w14:paraId="0DBDDAF3" w14:textId="686F4C19" w:rsidTr="00625C0B">
        <w:tc>
          <w:tcPr>
            <w:tcW w:w="3236" w:type="dxa"/>
            <w:shd w:val="clear" w:color="auto" w:fill="D0CECE" w:themeFill="background2" w:themeFillShade="E6"/>
          </w:tcPr>
          <w:p w14:paraId="25E89503" w14:textId="77777777" w:rsidR="00625C0B" w:rsidRPr="00552CEE" w:rsidRDefault="00625C0B" w:rsidP="00995EE5">
            <w:pPr>
              <w:rPr>
                <w:i/>
                <w:iCs/>
              </w:rPr>
            </w:pPr>
            <w:r w:rsidRPr="00552CEE">
              <w:rPr>
                <w:i/>
                <w:iCs/>
                <w:sz w:val="20"/>
                <w:szCs w:val="20"/>
              </w:rPr>
              <w:t>Values in £million (2025, real, undiscounted)</w:t>
            </w:r>
          </w:p>
        </w:tc>
        <w:tc>
          <w:tcPr>
            <w:tcW w:w="1476" w:type="dxa"/>
            <w:gridSpan w:val="2"/>
            <w:shd w:val="clear" w:color="auto" w:fill="D0CECE" w:themeFill="background2" w:themeFillShade="E6"/>
          </w:tcPr>
          <w:p w14:paraId="66A965AF" w14:textId="77777777" w:rsidR="00625C0B" w:rsidRPr="00552CEE" w:rsidRDefault="00625C0B" w:rsidP="00995EE5">
            <w:pPr>
              <w:jc w:val="center"/>
            </w:pPr>
            <w:r w:rsidRPr="00552CEE">
              <w:t>2030</w:t>
            </w:r>
          </w:p>
        </w:tc>
        <w:tc>
          <w:tcPr>
            <w:tcW w:w="1476" w:type="dxa"/>
            <w:gridSpan w:val="2"/>
            <w:shd w:val="clear" w:color="auto" w:fill="D0CECE" w:themeFill="background2" w:themeFillShade="E6"/>
          </w:tcPr>
          <w:p w14:paraId="0BAEE35D" w14:textId="77777777" w:rsidR="00625C0B" w:rsidRPr="00552CEE" w:rsidRDefault="00625C0B" w:rsidP="00995EE5">
            <w:pPr>
              <w:jc w:val="center"/>
            </w:pPr>
            <w:r w:rsidRPr="00552CEE">
              <w:t>2043</w:t>
            </w:r>
          </w:p>
        </w:tc>
        <w:tc>
          <w:tcPr>
            <w:tcW w:w="1477" w:type="dxa"/>
            <w:gridSpan w:val="2"/>
            <w:shd w:val="clear" w:color="auto" w:fill="D0CECE" w:themeFill="background2" w:themeFillShade="E6"/>
          </w:tcPr>
          <w:p w14:paraId="4F5512C4" w14:textId="77777777" w:rsidR="00625C0B" w:rsidRPr="00552CEE" w:rsidRDefault="00625C0B" w:rsidP="00995EE5">
            <w:pPr>
              <w:jc w:val="center"/>
            </w:pPr>
            <w:r w:rsidRPr="00552CEE">
              <w:t>2048</w:t>
            </w:r>
          </w:p>
        </w:tc>
        <w:tc>
          <w:tcPr>
            <w:tcW w:w="1361" w:type="dxa"/>
            <w:gridSpan w:val="2"/>
            <w:shd w:val="clear" w:color="auto" w:fill="D0CECE" w:themeFill="background2" w:themeFillShade="E6"/>
          </w:tcPr>
          <w:p w14:paraId="10C73766" w14:textId="4FBFD270" w:rsidR="00625C0B" w:rsidRPr="00552CEE" w:rsidRDefault="00625C0B" w:rsidP="00995EE5">
            <w:pPr>
              <w:jc w:val="center"/>
            </w:pPr>
            <w:r>
              <w:t>2028-58</w:t>
            </w:r>
          </w:p>
        </w:tc>
      </w:tr>
      <w:tr w:rsidR="00625C0B" w:rsidRPr="00552CEE" w14:paraId="29667598" w14:textId="45A4EF23" w:rsidTr="00625C0B">
        <w:tc>
          <w:tcPr>
            <w:tcW w:w="3236" w:type="dxa"/>
          </w:tcPr>
          <w:p w14:paraId="4785456A" w14:textId="77777777" w:rsidR="00625C0B" w:rsidRPr="00552CEE" w:rsidRDefault="00625C0B" w:rsidP="00995EE5">
            <w:r w:rsidRPr="00552CEE">
              <w:t xml:space="preserve">Upfront stake: £31million </w:t>
            </w:r>
          </w:p>
          <w:p w14:paraId="5EC4C2A1" w14:textId="77777777" w:rsidR="00625C0B" w:rsidRPr="00552CEE" w:rsidRDefault="00625C0B" w:rsidP="00995EE5">
            <w:r w:rsidRPr="00552CEE">
              <w:t>(1% of project)</w:t>
            </w:r>
          </w:p>
        </w:tc>
        <w:tc>
          <w:tcPr>
            <w:tcW w:w="1476" w:type="dxa"/>
            <w:gridSpan w:val="2"/>
          </w:tcPr>
          <w:p w14:paraId="3D6B937F" w14:textId="77777777" w:rsidR="00625C0B" w:rsidRPr="00552CEE" w:rsidRDefault="00625C0B" w:rsidP="00995EE5">
            <w:pPr>
              <w:jc w:val="center"/>
            </w:pPr>
          </w:p>
        </w:tc>
        <w:tc>
          <w:tcPr>
            <w:tcW w:w="1476" w:type="dxa"/>
            <w:gridSpan w:val="2"/>
          </w:tcPr>
          <w:p w14:paraId="63065663" w14:textId="77777777" w:rsidR="00625C0B" w:rsidRPr="00552CEE" w:rsidRDefault="00625C0B" w:rsidP="00995EE5">
            <w:pPr>
              <w:jc w:val="center"/>
            </w:pPr>
          </w:p>
        </w:tc>
        <w:tc>
          <w:tcPr>
            <w:tcW w:w="1477" w:type="dxa"/>
            <w:gridSpan w:val="2"/>
          </w:tcPr>
          <w:p w14:paraId="052CF959" w14:textId="77777777" w:rsidR="00625C0B" w:rsidRPr="00552CEE" w:rsidRDefault="00625C0B" w:rsidP="00995EE5">
            <w:pPr>
              <w:jc w:val="center"/>
            </w:pPr>
          </w:p>
        </w:tc>
        <w:tc>
          <w:tcPr>
            <w:tcW w:w="1361" w:type="dxa"/>
            <w:gridSpan w:val="2"/>
          </w:tcPr>
          <w:p w14:paraId="6376FC90" w14:textId="77777777" w:rsidR="00625C0B" w:rsidRPr="00552CEE" w:rsidRDefault="00625C0B" w:rsidP="00995EE5">
            <w:pPr>
              <w:jc w:val="center"/>
            </w:pPr>
          </w:p>
        </w:tc>
      </w:tr>
      <w:tr w:rsidR="00625C0B" w:rsidRPr="00552CEE" w14:paraId="6CEF3926" w14:textId="66C3FAE6" w:rsidTr="00625C0B">
        <w:tc>
          <w:tcPr>
            <w:tcW w:w="3236" w:type="dxa"/>
            <w:vAlign w:val="bottom"/>
          </w:tcPr>
          <w:p w14:paraId="5ABA0CC7" w14:textId="77777777" w:rsidR="00625C0B" w:rsidRPr="00552CEE" w:rsidRDefault="00625C0B" w:rsidP="001D08A0">
            <w:r w:rsidRPr="00552CEE">
              <w:t>Revenue</w:t>
            </w:r>
          </w:p>
        </w:tc>
        <w:tc>
          <w:tcPr>
            <w:tcW w:w="1476" w:type="dxa"/>
            <w:gridSpan w:val="2"/>
          </w:tcPr>
          <w:p w14:paraId="2E890FDA" w14:textId="55C44C2C" w:rsidR="00625C0B" w:rsidRPr="00552CEE" w:rsidRDefault="00625C0B" w:rsidP="001D08A0">
            <w:pPr>
              <w:jc w:val="center"/>
            </w:pPr>
            <w:r w:rsidRPr="00552CEE">
              <w:t>3.8</w:t>
            </w:r>
          </w:p>
        </w:tc>
        <w:tc>
          <w:tcPr>
            <w:tcW w:w="1476" w:type="dxa"/>
            <w:gridSpan w:val="2"/>
          </w:tcPr>
          <w:p w14:paraId="5B31E4B4" w14:textId="4E1E0837" w:rsidR="00625C0B" w:rsidRPr="00552CEE" w:rsidRDefault="00625C0B" w:rsidP="001D08A0">
            <w:pPr>
              <w:jc w:val="center"/>
            </w:pPr>
            <w:r w:rsidRPr="00552CEE">
              <w:t>2.4</w:t>
            </w:r>
          </w:p>
        </w:tc>
        <w:tc>
          <w:tcPr>
            <w:tcW w:w="1477" w:type="dxa"/>
            <w:gridSpan w:val="2"/>
          </w:tcPr>
          <w:p w14:paraId="241FA44F" w14:textId="0F8A8CA2" w:rsidR="00625C0B" w:rsidRPr="00552CEE" w:rsidRDefault="00625C0B" w:rsidP="001D08A0">
            <w:pPr>
              <w:jc w:val="center"/>
            </w:pPr>
            <w:r w:rsidRPr="00552CEE">
              <w:t>2.4</w:t>
            </w:r>
          </w:p>
        </w:tc>
        <w:tc>
          <w:tcPr>
            <w:tcW w:w="1361" w:type="dxa"/>
            <w:gridSpan w:val="2"/>
          </w:tcPr>
          <w:p w14:paraId="077D3A8D" w14:textId="77777777" w:rsidR="00625C0B" w:rsidRPr="00552CEE" w:rsidRDefault="00625C0B" w:rsidP="001D08A0">
            <w:pPr>
              <w:jc w:val="center"/>
            </w:pPr>
          </w:p>
        </w:tc>
      </w:tr>
      <w:tr w:rsidR="00625C0B" w:rsidRPr="00552CEE" w14:paraId="16E0A764" w14:textId="6A3BE366" w:rsidTr="00625C0B">
        <w:tc>
          <w:tcPr>
            <w:tcW w:w="3236" w:type="dxa"/>
            <w:vAlign w:val="bottom"/>
          </w:tcPr>
          <w:p w14:paraId="30704777" w14:textId="77777777" w:rsidR="00625C0B" w:rsidRPr="00552CEE" w:rsidRDefault="00625C0B" w:rsidP="001D08A0">
            <w:r w:rsidRPr="00552CEE">
              <w:t>Operating Costs</w:t>
            </w:r>
          </w:p>
        </w:tc>
        <w:tc>
          <w:tcPr>
            <w:tcW w:w="1476" w:type="dxa"/>
            <w:gridSpan w:val="2"/>
          </w:tcPr>
          <w:p w14:paraId="5E725FFE" w14:textId="668B9D64" w:rsidR="00625C0B" w:rsidRPr="00552CEE" w:rsidRDefault="00625C0B" w:rsidP="001D08A0">
            <w:pPr>
              <w:jc w:val="center"/>
            </w:pPr>
            <w:r w:rsidRPr="00552CEE">
              <w:t>0.8</w:t>
            </w:r>
          </w:p>
        </w:tc>
        <w:tc>
          <w:tcPr>
            <w:tcW w:w="1476" w:type="dxa"/>
            <w:gridSpan w:val="2"/>
          </w:tcPr>
          <w:p w14:paraId="64D98337" w14:textId="53695907" w:rsidR="00625C0B" w:rsidRPr="00552CEE" w:rsidRDefault="00625C0B" w:rsidP="001D08A0">
            <w:pPr>
              <w:jc w:val="center"/>
            </w:pPr>
            <w:r w:rsidRPr="00552CEE">
              <w:t>0.8</w:t>
            </w:r>
          </w:p>
        </w:tc>
        <w:tc>
          <w:tcPr>
            <w:tcW w:w="1477" w:type="dxa"/>
            <w:gridSpan w:val="2"/>
          </w:tcPr>
          <w:p w14:paraId="078BBD0F" w14:textId="2CF6D669" w:rsidR="00625C0B" w:rsidRPr="00552CEE" w:rsidRDefault="00625C0B" w:rsidP="001D08A0">
            <w:pPr>
              <w:jc w:val="center"/>
            </w:pPr>
            <w:r w:rsidRPr="00552CEE">
              <w:t>0.8</w:t>
            </w:r>
          </w:p>
        </w:tc>
        <w:tc>
          <w:tcPr>
            <w:tcW w:w="1361" w:type="dxa"/>
            <w:gridSpan w:val="2"/>
          </w:tcPr>
          <w:p w14:paraId="168FB864" w14:textId="77777777" w:rsidR="00625C0B" w:rsidRPr="00552CEE" w:rsidRDefault="00625C0B" w:rsidP="001D08A0">
            <w:pPr>
              <w:jc w:val="center"/>
            </w:pPr>
          </w:p>
        </w:tc>
      </w:tr>
      <w:tr w:rsidR="00625C0B" w:rsidRPr="00552CEE" w14:paraId="6B0537F8" w14:textId="22A1A33B" w:rsidTr="00625C0B">
        <w:tc>
          <w:tcPr>
            <w:tcW w:w="3236" w:type="dxa"/>
            <w:vAlign w:val="bottom"/>
          </w:tcPr>
          <w:p w14:paraId="438270FC" w14:textId="77777777" w:rsidR="00625C0B" w:rsidRPr="00552CEE" w:rsidRDefault="00625C0B" w:rsidP="001D08A0">
            <w:pPr>
              <w:rPr>
                <w:color w:val="BFBFBF" w:themeColor="background1" w:themeShade="BF"/>
              </w:rPr>
            </w:pPr>
            <w:r w:rsidRPr="00552CEE">
              <w:rPr>
                <w:color w:val="BFBFBF" w:themeColor="background1" w:themeShade="BF"/>
              </w:rPr>
              <w:t>Commercial debt servicing</w:t>
            </w:r>
          </w:p>
        </w:tc>
        <w:tc>
          <w:tcPr>
            <w:tcW w:w="1476" w:type="dxa"/>
            <w:gridSpan w:val="2"/>
          </w:tcPr>
          <w:p w14:paraId="7E353C39" w14:textId="63A49D11" w:rsidR="00625C0B" w:rsidRPr="00552CEE" w:rsidRDefault="00625C0B" w:rsidP="001D08A0">
            <w:pPr>
              <w:jc w:val="center"/>
              <w:rPr>
                <w:color w:val="BFBFBF" w:themeColor="background1" w:themeShade="BF"/>
              </w:rPr>
            </w:pPr>
            <w:r w:rsidRPr="00552CEE">
              <w:rPr>
                <w:color w:val="BFBFBF" w:themeColor="background1" w:themeShade="BF"/>
              </w:rPr>
              <w:t>0.0</w:t>
            </w:r>
          </w:p>
        </w:tc>
        <w:tc>
          <w:tcPr>
            <w:tcW w:w="1476" w:type="dxa"/>
            <w:gridSpan w:val="2"/>
          </w:tcPr>
          <w:p w14:paraId="5B545E40" w14:textId="21842C06" w:rsidR="00625C0B" w:rsidRPr="00552CEE" w:rsidRDefault="00625C0B" w:rsidP="001D08A0">
            <w:pPr>
              <w:jc w:val="center"/>
              <w:rPr>
                <w:color w:val="BFBFBF" w:themeColor="background1" w:themeShade="BF"/>
              </w:rPr>
            </w:pPr>
            <w:r w:rsidRPr="00552CEE">
              <w:rPr>
                <w:color w:val="BFBFBF" w:themeColor="background1" w:themeShade="BF"/>
              </w:rPr>
              <w:t>0.0</w:t>
            </w:r>
          </w:p>
        </w:tc>
        <w:tc>
          <w:tcPr>
            <w:tcW w:w="1477" w:type="dxa"/>
            <w:gridSpan w:val="2"/>
          </w:tcPr>
          <w:p w14:paraId="4EB0ADB7" w14:textId="2CC46311" w:rsidR="00625C0B" w:rsidRPr="00552CEE" w:rsidRDefault="00625C0B" w:rsidP="001D08A0">
            <w:pPr>
              <w:jc w:val="center"/>
              <w:rPr>
                <w:color w:val="BFBFBF" w:themeColor="background1" w:themeShade="BF"/>
              </w:rPr>
            </w:pPr>
            <w:r w:rsidRPr="00552CEE">
              <w:rPr>
                <w:color w:val="BFBFBF" w:themeColor="background1" w:themeShade="BF"/>
              </w:rPr>
              <w:t>0.0</w:t>
            </w:r>
          </w:p>
        </w:tc>
        <w:tc>
          <w:tcPr>
            <w:tcW w:w="1361" w:type="dxa"/>
            <w:gridSpan w:val="2"/>
          </w:tcPr>
          <w:p w14:paraId="2DFFCC2D" w14:textId="77777777" w:rsidR="00625C0B" w:rsidRPr="00552CEE" w:rsidRDefault="00625C0B" w:rsidP="001D08A0">
            <w:pPr>
              <w:jc w:val="center"/>
              <w:rPr>
                <w:color w:val="BFBFBF" w:themeColor="background1" w:themeShade="BF"/>
              </w:rPr>
            </w:pPr>
          </w:p>
        </w:tc>
      </w:tr>
      <w:tr w:rsidR="00625C0B" w:rsidRPr="00552CEE" w14:paraId="5E8E7857" w14:textId="4948A799" w:rsidTr="00625C0B">
        <w:tc>
          <w:tcPr>
            <w:tcW w:w="3236" w:type="dxa"/>
            <w:vAlign w:val="bottom"/>
          </w:tcPr>
          <w:p w14:paraId="424113EA" w14:textId="77777777" w:rsidR="00625C0B" w:rsidRPr="00552CEE" w:rsidRDefault="00625C0B" w:rsidP="001D08A0">
            <w:r w:rsidRPr="00552CEE">
              <w:t>Cash flow from project to SO</w:t>
            </w:r>
          </w:p>
        </w:tc>
        <w:tc>
          <w:tcPr>
            <w:tcW w:w="1476" w:type="dxa"/>
            <w:gridSpan w:val="2"/>
          </w:tcPr>
          <w:p w14:paraId="55A5C45C" w14:textId="37D0429C" w:rsidR="00625C0B" w:rsidRPr="00552CEE" w:rsidRDefault="00625C0B" w:rsidP="001D08A0">
            <w:pPr>
              <w:jc w:val="center"/>
            </w:pPr>
            <w:r w:rsidRPr="00552CEE">
              <w:t>3.0</w:t>
            </w:r>
          </w:p>
        </w:tc>
        <w:tc>
          <w:tcPr>
            <w:tcW w:w="1476" w:type="dxa"/>
            <w:gridSpan w:val="2"/>
          </w:tcPr>
          <w:p w14:paraId="536ADAC8" w14:textId="294015F8" w:rsidR="00625C0B" w:rsidRPr="00552CEE" w:rsidRDefault="00625C0B" w:rsidP="001D08A0">
            <w:pPr>
              <w:jc w:val="center"/>
            </w:pPr>
            <w:r w:rsidRPr="00552CEE">
              <w:t>1.6</w:t>
            </w:r>
          </w:p>
        </w:tc>
        <w:tc>
          <w:tcPr>
            <w:tcW w:w="1477" w:type="dxa"/>
            <w:gridSpan w:val="2"/>
          </w:tcPr>
          <w:p w14:paraId="455810EF" w14:textId="4620BC30" w:rsidR="00625C0B" w:rsidRPr="00552CEE" w:rsidRDefault="00625C0B" w:rsidP="001D08A0">
            <w:pPr>
              <w:jc w:val="center"/>
            </w:pPr>
            <w:r w:rsidRPr="00552CEE">
              <w:t>1.6</w:t>
            </w:r>
          </w:p>
        </w:tc>
        <w:tc>
          <w:tcPr>
            <w:tcW w:w="1361" w:type="dxa"/>
            <w:gridSpan w:val="2"/>
          </w:tcPr>
          <w:p w14:paraId="03527CD7" w14:textId="77777777" w:rsidR="00625C0B" w:rsidRPr="00552CEE" w:rsidRDefault="00625C0B" w:rsidP="001D08A0">
            <w:pPr>
              <w:jc w:val="center"/>
            </w:pPr>
          </w:p>
        </w:tc>
      </w:tr>
      <w:tr w:rsidR="00625C0B" w:rsidRPr="00552CEE" w14:paraId="4E82424A" w14:textId="0E8BF8EF" w:rsidTr="00625C0B">
        <w:tc>
          <w:tcPr>
            <w:tcW w:w="3236" w:type="dxa"/>
            <w:vAlign w:val="bottom"/>
          </w:tcPr>
          <w:p w14:paraId="1AAB8171" w14:textId="77777777" w:rsidR="00625C0B" w:rsidRPr="00552CEE" w:rsidRDefault="00625C0B" w:rsidP="001D08A0">
            <w:r w:rsidRPr="00552CEE">
              <w:t>Public Sector loan servicing</w:t>
            </w:r>
          </w:p>
        </w:tc>
        <w:tc>
          <w:tcPr>
            <w:tcW w:w="1476" w:type="dxa"/>
            <w:gridSpan w:val="2"/>
          </w:tcPr>
          <w:p w14:paraId="40918BBD" w14:textId="67DD6358" w:rsidR="00625C0B" w:rsidRPr="00552CEE" w:rsidRDefault="00625C0B" w:rsidP="001D08A0">
            <w:pPr>
              <w:jc w:val="center"/>
            </w:pPr>
            <w:r w:rsidRPr="00552CEE">
              <w:t>1.5</w:t>
            </w:r>
          </w:p>
        </w:tc>
        <w:tc>
          <w:tcPr>
            <w:tcW w:w="1476" w:type="dxa"/>
            <w:gridSpan w:val="2"/>
          </w:tcPr>
          <w:p w14:paraId="2AAABAA3" w14:textId="30BDAA62" w:rsidR="00625C0B" w:rsidRPr="00552CEE" w:rsidRDefault="00625C0B" w:rsidP="001D08A0">
            <w:pPr>
              <w:jc w:val="center"/>
            </w:pPr>
            <w:r w:rsidRPr="00552CEE">
              <w:t>1.5</w:t>
            </w:r>
          </w:p>
        </w:tc>
        <w:tc>
          <w:tcPr>
            <w:tcW w:w="1477" w:type="dxa"/>
            <w:gridSpan w:val="2"/>
          </w:tcPr>
          <w:p w14:paraId="72C6C50C" w14:textId="2C14BD65" w:rsidR="00625C0B" w:rsidRPr="00552CEE" w:rsidRDefault="00625C0B" w:rsidP="001D08A0">
            <w:pPr>
              <w:jc w:val="center"/>
            </w:pPr>
            <w:r w:rsidRPr="00552CEE">
              <w:t>0.0</w:t>
            </w:r>
          </w:p>
        </w:tc>
        <w:tc>
          <w:tcPr>
            <w:tcW w:w="1361" w:type="dxa"/>
            <w:gridSpan w:val="2"/>
          </w:tcPr>
          <w:p w14:paraId="2AD99E7A" w14:textId="77777777" w:rsidR="00625C0B" w:rsidRPr="00552CEE" w:rsidRDefault="00625C0B" w:rsidP="001D08A0">
            <w:pPr>
              <w:jc w:val="center"/>
            </w:pPr>
          </w:p>
        </w:tc>
      </w:tr>
      <w:tr w:rsidR="00625C0B" w:rsidRPr="00552CEE" w14:paraId="6268DC85" w14:textId="79A17AE5" w:rsidTr="00625C0B">
        <w:tc>
          <w:tcPr>
            <w:tcW w:w="3236" w:type="dxa"/>
            <w:vAlign w:val="bottom"/>
          </w:tcPr>
          <w:p w14:paraId="7635DE22" w14:textId="77777777" w:rsidR="00625C0B" w:rsidRPr="00552CEE" w:rsidRDefault="00625C0B" w:rsidP="001D08A0">
            <w:r w:rsidRPr="00552CEE">
              <w:t>Final SO income</w:t>
            </w:r>
          </w:p>
        </w:tc>
        <w:tc>
          <w:tcPr>
            <w:tcW w:w="1476" w:type="dxa"/>
            <w:gridSpan w:val="2"/>
          </w:tcPr>
          <w:p w14:paraId="0B97A29C" w14:textId="0AD5A076" w:rsidR="00625C0B" w:rsidRPr="00552CEE" w:rsidRDefault="00625C0B" w:rsidP="001D08A0">
            <w:pPr>
              <w:jc w:val="center"/>
            </w:pPr>
            <w:r w:rsidRPr="00552CEE">
              <w:t>1.4</w:t>
            </w:r>
          </w:p>
        </w:tc>
        <w:tc>
          <w:tcPr>
            <w:tcW w:w="1476" w:type="dxa"/>
            <w:gridSpan w:val="2"/>
          </w:tcPr>
          <w:p w14:paraId="5345EFA5" w14:textId="106D7CF0" w:rsidR="00625C0B" w:rsidRPr="00552CEE" w:rsidRDefault="00625C0B" w:rsidP="001D08A0">
            <w:pPr>
              <w:jc w:val="center"/>
            </w:pPr>
            <w:r w:rsidRPr="00552CEE">
              <w:t>0.1</w:t>
            </w:r>
          </w:p>
        </w:tc>
        <w:tc>
          <w:tcPr>
            <w:tcW w:w="1477" w:type="dxa"/>
            <w:gridSpan w:val="2"/>
          </w:tcPr>
          <w:p w14:paraId="3D0776E4" w14:textId="73EE654A" w:rsidR="00625C0B" w:rsidRPr="00552CEE" w:rsidRDefault="00625C0B" w:rsidP="001D08A0">
            <w:pPr>
              <w:jc w:val="center"/>
            </w:pPr>
            <w:r w:rsidRPr="00552CEE">
              <w:t>1.6</w:t>
            </w:r>
          </w:p>
        </w:tc>
        <w:tc>
          <w:tcPr>
            <w:tcW w:w="1361" w:type="dxa"/>
            <w:gridSpan w:val="2"/>
          </w:tcPr>
          <w:p w14:paraId="42F49575" w14:textId="77777777" w:rsidR="00625C0B" w:rsidRPr="00552CEE" w:rsidRDefault="00625C0B" w:rsidP="001D08A0">
            <w:pPr>
              <w:jc w:val="center"/>
            </w:pPr>
          </w:p>
        </w:tc>
      </w:tr>
      <w:tr w:rsidR="00625C0B" w:rsidRPr="00552CEE" w14:paraId="37AA5D07" w14:textId="3C16837E" w:rsidTr="00625C0B">
        <w:tc>
          <w:tcPr>
            <w:tcW w:w="3236" w:type="dxa"/>
            <w:vAlign w:val="bottom"/>
          </w:tcPr>
          <w:p w14:paraId="6BE0D665" w14:textId="77777777" w:rsidR="00625C0B" w:rsidRPr="00552CEE" w:rsidRDefault="00625C0B" w:rsidP="00995EE5">
            <w:pPr>
              <w:rPr>
                <w:color w:val="AEAAAA" w:themeColor="background2" w:themeShade="BF"/>
              </w:rPr>
            </w:pPr>
            <w:r w:rsidRPr="00552CEE">
              <w:rPr>
                <w:color w:val="AEAAAA" w:themeColor="background2" w:themeShade="BF"/>
              </w:rPr>
              <w:t xml:space="preserve">Basecase final SO income </w:t>
            </w:r>
          </w:p>
        </w:tc>
        <w:tc>
          <w:tcPr>
            <w:tcW w:w="1476" w:type="dxa"/>
            <w:gridSpan w:val="2"/>
          </w:tcPr>
          <w:p w14:paraId="2B8DD91A" w14:textId="77777777" w:rsidR="00625C0B" w:rsidRPr="00552CEE" w:rsidRDefault="00625C0B" w:rsidP="00995EE5">
            <w:pPr>
              <w:jc w:val="center"/>
              <w:rPr>
                <w:color w:val="AEAAAA" w:themeColor="background2" w:themeShade="BF"/>
              </w:rPr>
            </w:pPr>
            <w:r w:rsidRPr="00552CEE">
              <w:rPr>
                <w:color w:val="AEAAAA" w:themeColor="background2" w:themeShade="BF"/>
              </w:rPr>
              <w:t>1.1</w:t>
            </w:r>
          </w:p>
        </w:tc>
        <w:tc>
          <w:tcPr>
            <w:tcW w:w="1476" w:type="dxa"/>
            <w:gridSpan w:val="2"/>
          </w:tcPr>
          <w:p w14:paraId="7BCE9062" w14:textId="77777777" w:rsidR="00625C0B" w:rsidRPr="00552CEE" w:rsidRDefault="00625C0B" w:rsidP="00995EE5">
            <w:pPr>
              <w:jc w:val="center"/>
              <w:rPr>
                <w:color w:val="AEAAAA" w:themeColor="background2" w:themeShade="BF"/>
              </w:rPr>
            </w:pPr>
            <w:r w:rsidRPr="00552CEE">
              <w:rPr>
                <w:color w:val="AEAAAA" w:themeColor="background2" w:themeShade="BF"/>
              </w:rPr>
              <w:t>-0.3</w:t>
            </w:r>
          </w:p>
        </w:tc>
        <w:tc>
          <w:tcPr>
            <w:tcW w:w="1477" w:type="dxa"/>
            <w:gridSpan w:val="2"/>
          </w:tcPr>
          <w:p w14:paraId="3E860CEB" w14:textId="77777777" w:rsidR="00625C0B" w:rsidRPr="00552CEE" w:rsidRDefault="00625C0B" w:rsidP="00995EE5">
            <w:pPr>
              <w:jc w:val="center"/>
              <w:rPr>
                <w:color w:val="AEAAAA" w:themeColor="background2" w:themeShade="BF"/>
              </w:rPr>
            </w:pPr>
            <w:r w:rsidRPr="00552CEE">
              <w:rPr>
                <w:color w:val="AEAAAA" w:themeColor="background2" w:themeShade="BF"/>
              </w:rPr>
              <w:t>1.6</w:t>
            </w:r>
          </w:p>
        </w:tc>
        <w:tc>
          <w:tcPr>
            <w:tcW w:w="1361" w:type="dxa"/>
            <w:gridSpan w:val="2"/>
          </w:tcPr>
          <w:p w14:paraId="46BF5862" w14:textId="77777777" w:rsidR="00625C0B" w:rsidRPr="00552CEE" w:rsidRDefault="00625C0B" w:rsidP="00995EE5">
            <w:pPr>
              <w:jc w:val="center"/>
              <w:rPr>
                <w:color w:val="AEAAAA" w:themeColor="background2" w:themeShade="BF"/>
              </w:rPr>
            </w:pPr>
          </w:p>
        </w:tc>
      </w:tr>
      <w:tr w:rsidR="00625C0B" w:rsidRPr="00552CEE" w14:paraId="4414B9E5" w14:textId="77777777" w:rsidTr="004E2AB3">
        <w:tc>
          <w:tcPr>
            <w:tcW w:w="3281" w:type="dxa"/>
            <w:gridSpan w:val="2"/>
            <w:vAlign w:val="bottom"/>
          </w:tcPr>
          <w:p w14:paraId="2F8F99D8" w14:textId="77777777" w:rsidR="00625C0B" w:rsidRDefault="00625C0B" w:rsidP="00625C0B">
            <w:r>
              <w:t>Cumulative lifetime income</w:t>
            </w:r>
          </w:p>
          <w:p w14:paraId="5FD7CB7C" w14:textId="330DC2BE" w:rsidR="00625C0B" w:rsidRPr="00552CEE" w:rsidRDefault="00625C0B" w:rsidP="00625C0B">
            <w:r>
              <w:t>(30 years, undiscounted)</w:t>
            </w:r>
          </w:p>
        </w:tc>
        <w:tc>
          <w:tcPr>
            <w:tcW w:w="1466" w:type="dxa"/>
            <w:gridSpan w:val="2"/>
          </w:tcPr>
          <w:p w14:paraId="74A64124" w14:textId="77777777" w:rsidR="00625C0B" w:rsidRPr="00552CEE" w:rsidRDefault="00625C0B" w:rsidP="004E2AB3">
            <w:pPr>
              <w:jc w:val="center"/>
            </w:pPr>
          </w:p>
        </w:tc>
        <w:tc>
          <w:tcPr>
            <w:tcW w:w="1466" w:type="dxa"/>
            <w:gridSpan w:val="2"/>
          </w:tcPr>
          <w:p w14:paraId="291DEDE7" w14:textId="77777777" w:rsidR="00625C0B" w:rsidRPr="00552CEE" w:rsidRDefault="00625C0B" w:rsidP="004E2AB3">
            <w:pPr>
              <w:jc w:val="center"/>
              <w:rPr>
                <w:color w:val="C00000" w:themeColor="accent4"/>
              </w:rPr>
            </w:pPr>
          </w:p>
        </w:tc>
        <w:tc>
          <w:tcPr>
            <w:tcW w:w="1467" w:type="dxa"/>
            <w:gridSpan w:val="2"/>
          </w:tcPr>
          <w:p w14:paraId="7C3C7914" w14:textId="77777777" w:rsidR="00625C0B" w:rsidRPr="00552CEE" w:rsidRDefault="00625C0B" w:rsidP="004E2AB3">
            <w:pPr>
              <w:jc w:val="center"/>
            </w:pPr>
          </w:p>
        </w:tc>
        <w:tc>
          <w:tcPr>
            <w:tcW w:w="1346" w:type="dxa"/>
          </w:tcPr>
          <w:p w14:paraId="36FDDD04" w14:textId="5F3556C7" w:rsidR="00625C0B" w:rsidRPr="00552CEE" w:rsidRDefault="00625C0B" w:rsidP="004E2AB3">
            <w:pPr>
              <w:jc w:val="center"/>
            </w:pPr>
            <w:r>
              <w:t>37.5</w:t>
            </w:r>
          </w:p>
        </w:tc>
      </w:tr>
    </w:tbl>
    <w:p w14:paraId="1DBF9E3A" w14:textId="77777777" w:rsidR="00C6663A" w:rsidRPr="00552CEE" w:rsidRDefault="00C6663A" w:rsidP="00C6663A"/>
    <w:p w14:paraId="5B25D1E3" w14:textId="5777413D" w:rsidR="00C6663A" w:rsidRPr="00552CEE" w:rsidRDefault="00C6663A" w:rsidP="00C6663A">
      <w:pPr>
        <w:pStyle w:val="Caption"/>
        <w:keepNext/>
        <w:jc w:val="center"/>
      </w:pPr>
      <w:r w:rsidRPr="00552CEE">
        <w:t xml:space="preserve">Table </w:t>
      </w:r>
      <w:fldSimple w:instr=" SEQ Table \* ARABIC ">
        <w:r w:rsidR="00BA359F">
          <w:rPr>
            <w:noProof/>
          </w:rPr>
          <w:t>13</w:t>
        </w:r>
      </w:fldSimple>
      <w:r w:rsidRPr="00552CEE">
        <w:t xml:space="preserve">: Cash flow waterfall for 2% equity stake in project-financed joint venture project under </w:t>
      </w:r>
      <w:r w:rsidR="00455B86" w:rsidRPr="00552CEE">
        <w:t>the zero interest public sector loan sensitivity</w:t>
      </w:r>
      <w:r w:rsidRPr="00552CEE">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6"/>
        <w:gridCol w:w="45"/>
        <w:gridCol w:w="1431"/>
        <w:gridCol w:w="35"/>
        <w:gridCol w:w="1441"/>
        <w:gridCol w:w="25"/>
        <w:gridCol w:w="1452"/>
        <w:gridCol w:w="15"/>
        <w:gridCol w:w="1346"/>
      </w:tblGrid>
      <w:tr w:rsidR="00625C0B" w:rsidRPr="00552CEE" w14:paraId="6E64E571" w14:textId="2692C635" w:rsidTr="00625C0B">
        <w:tc>
          <w:tcPr>
            <w:tcW w:w="3236" w:type="dxa"/>
            <w:shd w:val="clear" w:color="auto" w:fill="D0CECE" w:themeFill="background2" w:themeFillShade="E6"/>
          </w:tcPr>
          <w:p w14:paraId="54F1E1DB" w14:textId="77777777" w:rsidR="00625C0B" w:rsidRPr="00552CEE" w:rsidRDefault="00625C0B" w:rsidP="00995EE5">
            <w:pPr>
              <w:rPr>
                <w:i/>
                <w:iCs/>
              </w:rPr>
            </w:pPr>
            <w:r w:rsidRPr="00552CEE">
              <w:rPr>
                <w:i/>
                <w:iCs/>
                <w:sz w:val="20"/>
                <w:szCs w:val="20"/>
              </w:rPr>
              <w:t>Values in £million (2025, real, undiscounted)</w:t>
            </w:r>
          </w:p>
        </w:tc>
        <w:tc>
          <w:tcPr>
            <w:tcW w:w="1476" w:type="dxa"/>
            <w:gridSpan w:val="2"/>
            <w:shd w:val="clear" w:color="auto" w:fill="D0CECE" w:themeFill="background2" w:themeFillShade="E6"/>
          </w:tcPr>
          <w:p w14:paraId="5E727A14" w14:textId="77777777" w:rsidR="00625C0B" w:rsidRPr="00552CEE" w:rsidRDefault="00625C0B" w:rsidP="00995EE5">
            <w:pPr>
              <w:jc w:val="center"/>
            </w:pPr>
            <w:r w:rsidRPr="00552CEE">
              <w:t>2030</w:t>
            </w:r>
          </w:p>
        </w:tc>
        <w:tc>
          <w:tcPr>
            <w:tcW w:w="1476" w:type="dxa"/>
            <w:gridSpan w:val="2"/>
            <w:shd w:val="clear" w:color="auto" w:fill="D0CECE" w:themeFill="background2" w:themeFillShade="E6"/>
          </w:tcPr>
          <w:p w14:paraId="68C24434" w14:textId="77777777" w:rsidR="00625C0B" w:rsidRPr="00552CEE" w:rsidRDefault="00625C0B" w:rsidP="00995EE5">
            <w:pPr>
              <w:jc w:val="center"/>
            </w:pPr>
            <w:r w:rsidRPr="00552CEE">
              <w:t>2043</w:t>
            </w:r>
          </w:p>
        </w:tc>
        <w:tc>
          <w:tcPr>
            <w:tcW w:w="1477" w:type="dxa"/>
            <w:gridSpan w:val="2"/>
            <w:shd w:val="clear" w:color="auto" w:fill="D0CECE" w:themeFill="background2" w:themeFillShade="E6"/>
          </w:tcPr>
          <w:p w14:paraId="7FBF7127" w14:textId="77777777" w:rsidR="00625C0B" w:rsidRPr="00552CEE" w:rsidRDefault="00625C0B" w:rsidP="00995EE5">
            <w:pPr>
              <w:jc w:val="center"/>
            </w:pPr>
            <w:r w:rsidRPr="00552CEE">
              <w:t>2048</w:t>
            </w:r>
          </w:p>
        </w:tc>
        <w:tc>
          <w:tcPr>
            <w:tcW w:w="1361" w:type="dxa"/>
            <w:gridSpan w:val="2"/>
            <w:shd w:val="clear" w:color="auto" w:fill="D0CECE" w:themeFill="background2" w:themeFillShade="E6"/>
          </w:tcPr>
          <w:p w14:paraId="67CA9760" w14:textId="60FFC8A5" w:rsidR="00625C0B" w:rsidRPr="00552CEE" w:rsidRDefault="00625C0B" w:rsidP="00995EE5">
            <w:pPr>
              <w:jc w:val="center"/>
            </w:pPr>
            <w:r>
              <w:t>2028-58</w:t>
            </w:r>
          </w:p>
        </w:tc>
      </w:tr>
      <w:tr w:rsidR="00625C0B" w:rsidRPr="00552CEE" w14:paraId="2AA809D4" w14:textId="621E1996" w:rsidTr="00625C0B">
        <w:tc>
          <w:tcPr>
            <w:tcW w:w="3236" w:type="dxa"/>
          </w:tcPr>
          <w:p w14:paraId="2FC31F0E" w14:textId="75BA3BD9" w:rsidR="00625C0B" w:rsidRPr="00552CEE" w:rsidRDefault="00625C0B" w:rsidP="00995EE5">
            <w:r w:rsidRPr="00552CEE">
              <w:t xml:space="preserve">Upfront stake: £30million </w:t>
            </w:r>
          </w:p>
          <w:p w14:paraId="6B8B316D" w14:textId="77777777" w:rsidR="00625C0B" w:rsidRPr="00552CEE" w:rsidRDefault="00625C0B" w:rsidP="00995EE5">
            <w:r w:rsidRPr="00552CEE">
              <w:t>(2% of equity in Joint Venture SPV)</w:t>
            </w:r>
          </w:p>
        </w:tc>
        <w:tc>
          <w:tcPr>
            <w:tcW w:w="1476" w:type="dxa"/>
            <w:gridSpan w:val="2"/>
          </w:tcPr>
          <w:p w14:paraId="55F41E87" w14:textId="77777777" w:rsidR="00625C0B" w:rsidRPr="00552CEE" w:rsidRDefault="00625C0B" w:rsidP="00995EE5">
            <w:pPr>
              <w:jc w:val="center"/>
            </w:pPr>
          </w:p>
        </w:tc>
        <w:tc>
          <w:tcPr>
            <w:tcW w:w="1476" w:type="dxa"/>
            <w:gridSpan w:val="2"/>
          </w:tcPr>
          <w:p w14:paraId="11440BAB" w14:textId="77777777" w:rsidR="00625C0B" w:rsidRPr="00552CEE" w:rsidRDefault="00625C0B" w:rsidP="00995EE5">
            <w:pPr>
              <w:jc w:val="center"/>
            </w:pPr>
          </w:p>
        </w:tc>
        <w:tc>
          <w:tcPr>
            <w:tcW w:w="1477" w:type="dxa"/>
            <w:gridSpan w:val="2"/>
          </w:tcPr>
          <w:p w14:paraId="7A8064CD" w14:textId="77777777" w:rsidR="00625C0B" w:rsidRPr="00552CEE" w:rsidRDefault="00625C0B" w:rsidP="00995EE5">
            <w:pPr>
              <w:jc w:val="center"/>
            </w:pPr>
          </w:p>
        </w:tc>
        <w:tc>
          <w:tcPr>
            <w:tcW w:w="1361" w:type="dxa"/>
            <w:gridSpan w:val="2"/>
          </w:tcPr>
          <w:p w14:paraId="37C875EC" w14:textId="77777777" w:rsidR="00625C0B" w:rsidRPr="00552CEE" w:rsidRDefault="00625C0B" w:rsidP="00995EE5">
            <w:pPr>
              <w:jc w:val="center"/>
            </w:pPr>
          </w:p>
        </w:tc>
      </w:tr>
      <w:tr w:rsidR="00625C0B" w:rsidRPr="00552CEE" w14:paraId="1647A63E" w14:textId="20609DD4" w:rsidTr="00625C0B">
        <w:tc>
          <w:tcPr>
            <w:tcW w:w="3236" w:type="dxa"/>
            <w:vAlign w:val="bottom"/>
          </w:tcPr>
          <w:p w14:paraId="0B8DDF83" w14:textId="77777777" w:rsidR="00625C0B" w:rsidRPr="00552CEE" w:rsidRDefault="00625C0B" w:rsidP="00183D95">
            <w:r w:rsidRPr="00552CEE">
              <w:t>Revenue</w:t>
            </w:r>
          </w:p>
        </w:tc>
        <w:tc>
          <w:tcPr>
            <w:tcW w:w="1476" w:type="dxa"/>
            <w:gridSpan w:val="2"/>
          </w:tcPr>
          <w:p w14:paraId="5CC461BB" w14:textId="33A3C706" w:rsidR="00625C0B" w:rsidRPr="00552CEE" w:rsidRDefault="00625C0B" w:rsidP="00183D95">
            <w:pPr>
              <w:jc w:val="center"/>
            </w:pPr>
            <w:r w:rsidRPr="00552CEE">
              <w:t>7.5</w:t>
            </w:r>
          </w:p>
        </w:tc>
        <w:tc>
          <w:tcPr>
            <w:tcW w:w="1476" w:type="dxa"/>
            <w:gridSpan w:val="2"/>
          </w:tcPr>
          <w:p w14:paraId="74E62529" w14:textId="64C45661" w:rsidR="00625C0B" w:rsidRPr="00552CEE" w:rsidRDefault="00625C0B" w:rsidP="00183D95">
            <w:pPr>
              <w:jc w:val="center"/>
            </w:pPr>
            <w:r w:rsidRPr="00552CEE">
              <w:t>4.8</w:t>
            </w:r>
          </w:p>
        </w:tc>
        <w:tc>
          <w:tcPr>
            <w:tcW w:w="1477" w:type="dxa"/>
            <w:gridSpan w:val="2"/>
          </w:tcPr>
          <w:p w14:paraId="3C2C9B1E" w14:textId="43038F4A" w:rsidR="00625C0B" w:rsidRPr="00552CEE" w:rsidRDefault="00625C0B" w:rsidP="00183D95">
            <w:pPr>
              <w:jc w:val="center"/>
            </w:pPr>
            <w:r w:rsidRPr="00552CEE">
              <w:t>4.8</w:t>
            </w:r>
          </w:p>
        </w:tc>
        <w:tc>
          <w:tcPr>
            <w:tcW w:w="1361" w:type="dxa"/>
            <w:gridSpan w:val="2"/>
          </w:tcPr>
          <w:p w14:paraId="35937F3F" w14:textId="77777777" w:rsidR="00625C0B" w:rsidRPr="00552CEE" w:rsidRDefault="00625C0B" w:rsidP="00183D95">
            <w:pPr>
              <w:jc w:val="center"/>
            </w:pPr>
          </w:p>
        </w:tc>
      </w:tr>
      <w:tr w:rsidR="00625C0B" w:rsidRPr="00552CEE" w14:paraId="7459D0D8" w14:textId="76855452" w:rsidTr="00625C0B">
        <w:tc>
          <w:tcPr>
            <w:tcW w:w="3236" w:type="dxa"/>
            <w:vAlign w:val="bottom"/>
          </w:tcPr>
          <w:p w14:paraId="55C151EB" w14:textId="77777777" w:rsidR="00625C0B" w:rsidRPr="00552CEE" w:rsidRDefault="00625C0B" w:rsidP="00183D95">
            <w:r w:rsidRPr="00552CEE">
              <w:t>Operating Costs</w:t>
            </w:r>
          </w:p>
        </w:tc>
        <w:tc>
          <w:tcPr>
            <w:tcW w:w="1476" w:type="dxa"/>
            <w:gridSpan w:val="2"/>
          </w:tcPr>
          <w:p w14:paraId="74708374" w14:textId="6D24410B" w:rsidR="00625C0B" w:rsidRPr="00552CEE" w:rsidRDefault="00625C0B" w:rsidP="00183D95">
            <w:pPr>
              <w:jc w:val="center"/>
            </w:pPr>
            <w:r w:rsidRPr="00552CEE">
              <w:t>1.6</w:t>
            </w:r>
          </w:p>
        </w:tc>
        <w:tc>
          <w:tcPr>
            <w:tcW w:w="1476" w:type="dxa"/>
            <w:gridSpan w:val="2"/>
          </w:tcPr>
          <w:p w14:paraId="1B6FE63D" w14:textId="0FCC954C" w:rsidR="00625C0B" w:rsidRPr="00552CEE" w:rsidRDefault="00625C0B" w:rsidP="00183D95">
            <w:pPr>
              <w:jc w:val="center"/>
            </w:pPr>
            <w:r w:rsidRPr="00552CEE">
              <w:t>1.6</w:t>
            </w:r>
          </w:p>
        </w:tc>
        <w:tc>
          <w:tcPr>
            <w:tcW w:w="1477" w:type="dxa"/>
            <w:gridSpan w:val="2"/>
          </w:tcPr>
          <w:p w14:paraId="2EE0779F" w14:textId="21E260EB" w:rsidR="00625C0B" w:rsidRPr="00552CEE" w:rsidRDefault="00625C0B" w:rsidP="00183D95">
            <w:pPr>
              <w:jc w:val="center"/>
            </w:pPr>
            <w:r w:rsidRPr="00552CEE">
              <w:t>1.6</w:t>
            </w:r>
          </w:p>
        </w:tc>
        <w:tc>
          <w:tcPr>
            <w:tcW w:w="1361" w:type="dxa"/>
            <w:gridSpan w:val="2"/>
          </w:tcPr>
          <w:p w14:paraId="7400D615" w14:textId="77777777" w:rsidR="00625C0B" w:rsidRPr="00552CEE" w:rsidRDefault="00625C0B" w:rsidP="00183D95">
            <w:pPr>
              <w:jc w:val="center"/>
            </w:pPr>
          </w:p>
        </w:tc>
      </w:tr>
      <w:tr w:rsidR="00625C0B" w:rsidRPr="00552CEE" w14:paraId="2AC0DA70" w14:textId="5F21CD0D" w:rsidTr="00625C0B">
        <w:tc>
          <w:tcPr>
            <w:tcW w:w="3236" w:type="dxa"/>
            <w:vAlign w:val="bottom"/>
          </w:tcPr>
          <w:p w14:paraId="34ADF69D" w14:textId="77777777" w:rsidR="00625C0B" w:rsidRPr="00552CEE" w:rsidRDefault="00625C0B" w:rsidP="00183D95">
            <w:r w:rsidRPr="00552CEE">
              <w:t>Commercial debt servicing</w:t>
            </w:r>
          </w:p>
        </w:tc>
        <w:tc>
          <w:tcPr>
            <w:tcW w:w="1476" w:type="dxa"/>
            <w:gridSpan w:val="2"/>
          </w:tcPr>
          <w:p w14:paraId="10DAC087" w14:textId="75DA4263" w:rsidR="00625C0B" w:rsidRPr="00552CEE" w:rsidRDefault="00625C0B" w:rsidP="00183D95">
            <w:pPr>
              <w:jc w:val="center"/>
            </w:pPr>
            <w:r w:rsidRPr="00552CEE">
              <w:t>4.1</w:t>
            </w:r>
          </w:p>
        </w:tc>
        <w:tc>
          <w:tcPr>
            <w:tcW w:w="1476" w:type="dxa"/>
            <w:gridSpan w:val="2"/>
          </w:tcPr>
          <w:p w14:paraId="3318A634" w14:textId="7CDB4C82" w:rsidR="00625C0B" w:rsidRPr="00552CEE" w:rsidRDefault="00625C0B" w:rsidP="00183D95">
            <w:pPr>
              <w:jc w:val="center"/>
            </w:pPr>
            <w:r w:rsidRPr="00552CEE">
              <w:t>0.0</w:t>
            </w:r>
          </w:p>
        </w:tc>
        <w:tc>
          <w:tcPr>
            <w:tcW w:w="1477" w:type="dxa"/>
            <w:gridSpan w:val="2"/>
          </w:tcPr>
          <w:p w14:paraId="53ACE458" w14:textId="6B17CD0C" w:rsidR="00625C0B" w:rsidRPr="00552CEE" w:rsidRDefault="00625C0B" w:rsidP="00183D95">
            <w:pPr>
              <w:jc w:val="center"/>
            </w:pPr>
            <w:r w:rsidRPr="00552CEE">
              <w:t>0.0</w:t>
            </w:r>
          </w:p>
        </w:tc>
        <w:tc>
          <w:tcPr>
            <w:tcW w:w="1361" w:type="dxa"/>
            <w:gridSpan w:val="2"/>
          </w:tcPr>
          <w:p w14:paraId="2EC45B71" w14:textId="77777777" w:rsidR="00625C0B" w:rsidRPr="00552CEE" w:rsidRDefault="00625C0B" w:rsidP="00183D95">
            <w:pPr>
              <w:jc w:val="center"/>
            </w:pPr>
          </w:p>
        </w:tc>
      </w:tr>
      <w:tr w:rsidR="00625C0B" w:rsidRPr="00552CEE" w14:paraId="2C886EB9" w14:textId="3DF4D139" w:rsidTr="00625C0B">
        <w:tc>
          <w:tcPr>
            <w:tcW w:w="3236" w:type="dxa"/>
            <w:vAlign w:val="bottom"/>
          </w:tcPr>
          <w:p w14:paraId="4388C5B1" w14:textId="77777777" w:rsidR="00625C0B" w:rsidRPr="00552CEE" w:rsidRDefault="00625C0B" w:rsidP="00183D95">
            <w:r w:rsidRPr="00552CEE">
              <w:t>Cash flow from project to SO</w:t>
            </w:r>
          </w:p>
        </w:tc>
        <w:tc>
          <w:tcPr>
            <w:tcW w:w="1476" w:type="dxa"/>
            <w:gridSpan w:val="2"/>
          </w:tcPr>
          <w:p w14:paraId="7114EA52" w14:textId="3C3B1DFD" w:rsidR="00625C0B" w:rsidRPr="00552CEE" w:rsidRDefault="00625C0B" w:rsidP="00183D95">
            <w:pPr>
              <w:jc w:val="center"/>
            </w:pPr>
            <w:r w:rsidRPr="00552CEE">
              <w:t>1.8</w:t>
            </w:r>
          </w:p>
        </w:tc>
        <w:tc>
          <w:tcPr>
            <w:tcW w:w="1476" w:type="dxa"/>
            <w:gridSpan w:val="2"/>
          </w:tcPr>
          <w:p w14:paraId="4A6E2F85" w14:textId="17A15073" w:rsidR="00625C0B" w:rsidRPr="00552CEE" w:rsidRDefault="00625C0B" w:rsidP="00183D95">
            <w:pPr>
              <w:jc w:val="center"/>
            </w:pPr>
            <w:r w:rsidRPr="00552CEE">
              <w:t>3.2</w:t>
            </w:r>
          </w:p>
        </w:tc>
        <w:tc>
          <w:tcPr>
            <w:tcW w:w="1477" w:type="dxa"/>
            <w:gridSpan w:val="2"/>
          </w:tcPr>
          <w:p w14:paraId="0021D22B" w14:textId="3F21F004" w:rsidR="00625C0B" w:rsidRPr="00552CEE" w:rsidRDefault="00625C0B" w:rsidP="00183D95">
            <w:pPr>
              <w:jc w:val="center"/>
            </w:pPr>
            <w:r w:rsidRPr="00552CEE">
              <w:t>3.2</w:t>
            </w:r>
          </w:p>
        </w:tc>
        <w:tc>
          <w:tcPr>
            <w:tcW w:w="1361" w:type="dxa"/>
            <w:gridSpan w:val="2"/>
          </w:tcPr>
          <w:p w14:paraId="740B4302" w14:textId="77777777" w:rsidR="00625C0B" w:rsidRPr="00552CEE" w:rsidRDefault="00625C0B" w:rsidP="00183D95">
            <w:pPr>
              <w:jc w:val="center"/>
            </w:pPr>
          </w:p>
        </w:tc>
      </w:tr>
      <w:tr w:rsidR="00625C0B" w:rsidRPr="00552CEE" w14:paraId="347C03B3" w14:textId="6F16929E" w:rsidTr="00625C0B">
        <w:tc>
          <w:tcPr>
            <w:tcW w:w="3236" w:type="dxa"/>
            <w:vAlign w:val="bottom"/>
          </w:tcPr>
          <w:p w14:paraId="090C8468" w14:textId="77777777" w:rsidR="00625C0B" w:rsidRPr="00552CEE" w:rsidRDefault="00625C0B" w:rsidP="00183D95">
            <w:r w:rsidRPr="00552CEE">
              <w:t>Public Sector loan servicing</w:t>
            </w:r>
          </w:p>
        </w:tc>
        <w:tc>
          <w:tcPr>
            <w:tcW w:w="1476" w:type="dxa"/>
            <w:gridSpan w:val="2"/>
          </w:tcPr>
          <w:p w14:paraId="40403970" w14:textId="1B22059B" w:rsidR="00625C0B" w:rsidRPr="00552CEE" w:rsidRDefault="00625C0B" w:rsidP="00183D95">
            <w:pPr>
              <w:jc w:val="center"/>
            </w:pPr>
            <w:r w:rsidRPr="00552CEE">
              <w:t>1.2</w:t>
            </w:r>
          </w:p>
        </w:tc>
        <w:tc>
          <w:tcPr>
            <w:tcW w:w="1476" w:type="dxa"/>
            <w:gridSpan w:val="2"/>
          </w:tcPr>
          <w:p w14:paraId="7AE8453E" w14:textId="74904262" w:rsidR="00625C0B" w:rsidRPr="00552CEE" w:rsidRDefault="00625C0B" w:rsidP="00183D95">
            <w:pPr>
              <w:jc w:val="center"/>
            </w:pPr>
            <w:r w:rsidRPr="00552CEE">
              <w:t>1.2</w:t>
            </w:r>
          </w:p>
        </w:tc>
        <w:tc>
          <w:tcPr>
            <w:tcW w:w="1477" w:type="dxa"/>
            <w:gridSpan w:val="2"/>
          </w:tcPr>
          <w:p w14:paraId="3BB54745" w14:textId="54E74470" w:rsidR="00625C0B" w:rsidRPr="00552CEE" w:rsidRDefault="00625C0B" w:rsidP="00183D95">
            <w:pPr>
              <w:jc w:val="center"/>
            </w:pPr>
            <w:r w:rsidRPr="00552CEE">
              <w:t>0.0</w:t>
            </w:r>
          </w:p>
        </w:tc>
        <w:tc>
          <w:tcPr>
            <w:tcW w:w="1361" w:type="dxa"/>
            <w:gridSpan w:val="2"/>
          </w:tcPr>
          <w:p w14:paraId="5003B102" w14:textId="77777777" w:rsidR="00625C0B" w:rsidRPr="00552CEE" w:rsidRDefault="00625C0B" w:rsidP="00183D95">
            <w:pPr>
              <w:jc w:val="center"/>
            </w:pPr>
          </w:p>
        </w:tc>
      </w:tr>
      <w:tr w:rsidR="00625C0B" w:rsidRPr="00552CEE" w14:paraId="0A5DB90F" w14:textId="38AA6C13" w:rsidTr="00625C0B">
        <w:trPr>
          <w:trHeight w:val="44"/>
        </w:trPr>
        <w:tc>
          <w:tcPr>
            <w:tcW w:w="3236" w:type="dxa"/>
            <w:vAlign w:val="bottom"/>
          </w:tcPr>
          <w:p w14:paraId="14A6B782" w14:textId="77777777" w:rsidR="00625C0B" w:rsidRPr="00552CEE" w:rsidRDefault="00625C0B" w:rsidP="00183D95">
            <w:r w:rsidRPr="00552CEE">
              <w:t>Final SO income</w:t>
            </w:r>
          </w:p>
        </w:tc>
        <w:tc>
          <w:tcPr>
            <w:tcW w:w="1476" w:type="dxa"/>
            <w:gridSpan w:val="2"/>
          </w:tcPr>
          <w:p w14:paraId="5ADAA2A8" w14:textId="7EAD9FB8" w:rsidR="00625C0B" w:rsidRPr="00552CEE" w:rsidRDefault="00625C0B" w:rsidP="00183D95">
            <w:pPr>
              <w:jc w:val="center"/>
              <w:rPr>
                <w:color w:val="C00000" w:themeColor="accent4"/>
              </w:rPr>
            </w:pPr>
            <w:r w:rsidRPr="00552CEE">
              <w:t>0.6</w:t>
            </w:r>
          </w:p>
        </w:tc>
        <w:tc>
          <w:tcPr>
            <w:tcW w:w="1476" w:type="dxa"/>
            <w:gridSpan w:val="2"/>
          </w:tcPr>
          <w:p w14:paraId="109EFC39" w14:textId="4381059F" w:rsidR="00625C0B" w:rsidRPr="00552CEE" w:rsidRDefault="00625C0B" w:rsidP="00183D95">
            <w:pPr>
              <w:jc w:val="center"/>
              <w:rPr>
                <w:color w:val="C00000" w:themeColor="accent4"/>
              </w:rPr>
            </w:pPr>
            <w:r w:rsidRPr="00552CEE">
              <w:t>2.0</w:t>
            </w:r>
          </w:p>
        </w:tc>
        <w:tc>
          <w:tcPr>
            <w:tcW w:w="1477" w:type="dxa"/>
            <w:gridSpan w:val="2"/>
          </w:tcPr>
          <w:p w14:paraId="3E3ECD7B" w14:textId="663F3ED0" w:rsidR="00625C0B" w:rsidRPr="00552CEE" w:rsidRDefault="00625C0B" w:rsidP="00183D95">
            <w:pPr>
              <w:jc w:val="center"/>
            </w:pPr>
            <w:r w:rsidRPr="00552CEE">
              <w:t>3.2</w:t>
            </w:r>
          </w:p>
        </w:tc>
        <w:tc>
          <w:tcPr>
            <w:tcW w:w="1361" w:type="dxa"/>
            <w:gridSpan w:val="2"/>
          </w:tcPr>
          <w:p w14:paraId="7D00E047" w14:textId="77777777" w:rsidR="00625C0B" w:rsidRPr="00552CEE" w:rsidRDefault="00625C0B" w:rsidP="00183D95">
            <w:pPr>
              <w:jc w:val="center"/>
            </w:pPr>
          </w:p>
        </w:tc>
      </w:tr>
      <w:tr w:rsidR="00625C0B" w:rsidRPr="00552CEE" w14:paraId="6A36FDA1" w14:textId="25A8F9A8" w:rsidTr="00625C0B">
        <w:trPr>
          <w:trHeight w:val="44"/>
        </w:trPr>
        <w:tc>
          <w:tcPr>
            <w:tcW w:w="3236" w:type="dxa"/>
            <w:vAlign w:val="bottom"/>
          </w:tcPr>
          <w:p w14:paraId="489131F7" w14:textId="6489AF61" w:rsidR="00625C0B" w:rsidRPr="00552CEE" w:rsidRDefault="00625C0B" w:rsidP="008651BA">
            <w:r w:rsidRPr="00552CEE">
              <w:rPr>
                <w:color w:val="A6A6A6" w:themeColor="background1" w:themeShade="A6"/>
              </w:rPr>
              <w:t>Basecase final SO income</w:t>
            </w:r>
          </w:p>
        </w:tc>
        <w:tc>
          <w:tcPr>
            <w:tcW w:w="1476" w:type="dxa"/>
            <w:gridSpan w:val="2"/>
          </w:tcPr>
          <w:p w14:paraId="0536AF72" w14:textId="36C1B170" w:rsidR="00625C0B" w:rsidRPr="00552CEE" w:rsidRDefault="00625C0B" w:rsidP="008651BA">
            <w:pPr>
              <w:jc w:val="center"/>
              <w:rPr>
                <w:color w:val="C00000" w:themeColor="accent4"/>
              </w:rPr>
            </w:pPr>
            <w:r w:rsidRPr="00552CEE">
              <w:rPr>
                <w:color w:val="A6A6A6" w:themeColor="background1" w:themeShade="A6"/>
              </w:rPr>
              <w:t>0.3</w:t>
            </w:r>
          </w:p>
        </w:tc>
        <w:tc>
          <w:tcPr>
            <w:tcW w:w="1476" w:type="dxa"/>
            <w:gridSpan w:val="2"/>
          </w:tcPr>
          <w:p w14:paraId="1DF54C4F" w14:textId="6907F053" w:rsidR="00625C0B" w:rsidRPr="00552CEE" w:rsidRDefault="00625C0B" w:rsidP="008651BA">
            <w:pPr>
              <w:jc w:val="center"/>
              <w:rPr>
                <w:color w:val="C00000" w:themeColor="accent4"/>
              </w:rPr>
            </w:pPr>
            <w:r w:rsidRPr="00552CEE">
              <w:rPr>
                <w:color w:val="A6A6A6" w:themeColor="background1" w:themeShade="A6"/>
              </w:rPr>
              <w:t>1.7</w:t>
            </w:r>
          </w:p>
        </w:tc>
        <w:tc>
          <w:tcPr>
            <w:tcW w:w="1477" w:type="dxa"/>
            <w:gridSpan w:val="2"/>
          </w:tcPr>
          <w:p w14:paraId="667D2666" w14:textId="18D1A95E" w:rsidR="00625C0B" w:rsidRPr="00552CEE" w:rsidRDefault="00625C0B" w:rsidP="008651BA">
            <w:pPr>
              <w:jc w:val="center"/>
            </w:pPr>
            <w:r w:rsidRPr="00552CEE">
              <w:rPr>
                <w:color w:val="A6A6A6" w:themeColor="background1" w:themeShade="A6"/>
              </w:rPr>
              <w:t>3.2</w:t>
            </w:r>
          </w:p>
        </w:tc>
        <w:tc>
          <w:tcPr>
            <w:tcW w:w="1361" w:type="dxa"/>
            <w:gridSpan w:val="2"/>
          </w:tcPr>
          <w:p w14:paraId="5E7E713B" w14:textId="77777777" w:rsidR="00625C0B" w:rsidRPr="00552CEE" w:rsidRDefault="00625C0B" w:rsidP="008651BA">
            <w:pPr>
              <w:jc w:val="center"/>
              <w:rPr>
                <w:color w:val="A6A6A6" w:themeColor="background1" w:themeShade="A6"/>
              </w:rPr>
            </w:pPr>
          </w:p>
        </w:tc>
      </w:tr>
      <w:tr w:rsidR="00625C0B" w:rsidRPr="00552CEE" w14:paraId="1298BF24" w14:textId="77777777" w:rsidTr="004E2AB3">
        <w:tc>
          <w:tcPr>
            <w:tcW w:w="3281" w:type="dxa"/>
            <w:gridSpan w:val="2"/>
            <w:vAlign w:val="bottom"/>
          </w:tcPr>
          <w:p w14:paraId="1866C052" w14:textId="77777777" w:rsidR="00625C0B" w:rsidRDefault="00625C0B" w:rsidP="00625C0B">
            <w:r>
              <w:t>Cumulative lifetime income</w:t>
            </w:r>
          </w:p>
          <w:p w14:paraId="60E30B6A" w14:textId="38ECC98E" w:rsidR="00625C0B" w:rsidRPr="00552CEE" w:rsidRDefault="00625C0B" w:rsidP="00625C0B">
            <w:r>
              <w:t>(30 years, undiscounted)</w:t>
            </w:r>
          </w:p>
        </w:tc>
        <w:tc>
          <w:tcPr>
            <w:tcW w:w="1466" w:type="dxa"/>
            <w:gridSpan w:val="2"/>
          </w:tcPr>
          <w:p w14:paraId="0139B941" w14:textId="77777777" w:rsidR="00625C0B" w:rsidRPr="00552CEE" w:rsidRDefault="00625C0B" w:rsidP="004E2AB3">
            <w:pPr>
              <w:jc w:val="center"/>
            </w:pPr>
          </w:p>
        </w:tc>
        <w:tc>
          <w:tcPr>
            <w:tcW w:w="1466" w:type="dxa"/>
            <w:gridSpan w:val="2"/>
          </w:tcPr>
          <w:p w14:paraId="1E849AA1" w14:textId="77777777" w:rsidR="00625C0B" w:rsidRPr="00552CEE" w:rsidRDefault="00625C0B" w:rsidP="004E2AB3">
            <w:pPr>
              <w:jc w:val="center"/>
              <w:rPr>
                <w:color w:val="C00000" w:themeColor="accent4"/>
              </w:rPr>
            </w:pPr>
          </w:p>
        </w:tc>
        <w:tc>
          <w:tcPr>
            <w:tcW w:w="1467" w:type="dxa"/>
            <w:gridSpan w:val="2"/>
          </w:tcPr>
          <w:p w14:paraId="602CC5D0" w14:textId="77777777" w:rsidR="00625C0B" w:rsidRPr="00552CEE" w:rsidRDefault="00625C0B" w:rsidP="004E2AB3">
            <w:pPr>
              <w:jc w:val="center"/>
            </w:pPr>
          </w:p>
        </w:tc>
        <w:tc>
          <w:tcPr>
            <w:tcW w:w="1346" w:type="dxa"/>
          </w:tcPr>
          <w:p w14:paraId="30ADB22A" w14:textId="2BD26B95" w:rsidR="00625C0B" w:rsidRPr="00552CEE" w:rsidRDefault="00625C0B" w:rsidP="004E2AB3">
            <w:pPr>
              <w:jc w:val="center"/>
            </w:pPr>
            <w:r>
              <w:t>51.0</w:t>
            </w:r>
          </w:p>
        </w:tc>
      </w:tr>
    </w:tbl>
    <w:p w14:paraId="5AACFCE0" w14:textId="77777777" w:rsidR="00C6663A" w:rsidRPr="00552CEE" w:rsidRDefault="00C6663A" w:rsidP="00C6663A"/>
    <w:p w14:paraId="577234AD" w14:textId="395FF736" w:rsidR="00332C44" w:rsidRPr="00552CEE" w:rsidRDefault="0066085D" w:rsidP="00C6663A">
      <w:r w:rsidRPr="00552CEE">
        <w:lastRenderedPageBreak/>
        <w:t xml:space="preserve">The reduction in public sector loan interest results in higher final SO income compared to the baseline. In the </w:t>
      </w:r>
      <w:r w:rsidR="00056782">
        <w:t xml:space="preserve">balance sheet </w:t>
      </w:r>
      <w:r w:rsidRPr="00552CEE">
        <w:t>ownership case, the increase is sufficient to eliminate the negative cash flow during the period between the end of the CfD and the end of the public sector loan, although final income in these years remains very low.</w:t>
      </w:r>
    </w:p>
    <w:p w14:paraId="02368B01" w14:textId="77777777" w:rsidR="00332C44" w:rsidRPr="00552CEE" w:rsidRDefault="00332C44" w:rsidP="00C6663A"/>
    <w:p w14:paraId="33E0863E" w14:textId="72DBF71C" w:rsidR="00332C44" w:rsidRPr="00552CEE" w:rsidRDefault="00332C44" w:rsidP="00C6663A">
      <w:pPr>
        <w:sectPr w:rsidR="00332C44" w:rsidRPr="00552CEE">
          <w:pgSz w:w="11906" w:h="16838"/>
          <w:pgMar w:top="1440" w:right="1440" w:bottom="1440" w:left="1440" w:header="708" w:footer="708" w:gutter="0"/>
          <w:cols w:space="708"/>
          <w:docGrid w:linePitch="360"/>
        </w:sectPr>
      </w:pPr>
    </w:p>
    <w:p w14:paraId="081D3615" w14:textId="7D22460A" w:rsidR="00972191" w:rsidRPr="00552CEE" w:rsidRDefault="002E491D" w:rsidP="00972191">
      <w:pPr>
        <w:pStyle w:val="Heading3"/>
      </w:pPr>
      <w:r w:rsidRPr="00552CEE">
        <w:lastRenderedPageBreak/>
        <w:t xml:space="preserve">Grant replaces the </w:t>
      </w:r>
      <w:r w:rsidR="00972191" w:rsidRPr="00552CEE">
        <w:t>public sector loan</w:t>
      </w:r>
    </w:p>
    <w:p w14:paraId="1265F14B" w14:textId="1A9BC615" w:rsidR="00E4586D" w:rsidRDefault="00036938" w:rsidP="00C6663A">
      <w:r w:rsidRPr="00552CEE">
        <w:t>This scenario removes the requirement to repay the principal of the public sector loan, effectively converting it into a grant. It is highly unlikely that public sector organisations would be willing to provide grants of this scale to individual projects. However, as expected, removing the need to repay the funding substantially increases final income to the SO Company relative to the baseline</w:t>
      </w:r>
      <w:r w:rsidR="002451F5" w:rsidRPr="00552CEE">
        <w:t xml:space="preserve">. </w:t>
      </w:r>
    </w:p>
    <w:p w14:paraId="70F6F007" w14:textId="77777777" w:rsidR="00625C0B" w:rsidRPr="00552CEE" w:rsidRDefault="00625C0B" w:rsidP="00C6663A"/>
    <w:p w14:paraId="51151EDB" w14:textId="1BA72DA1" w:rsidR="00972191" w:rsidRPr="00552CEE" w:rsidRDefault="00972191" w:rsidP="00972191">
      <w:pPr>
        <w:pStyle w:val="Caption"/>
        <w:keepNext/>
        <w:jc w:val="center"/>
      </w:pPr>
      <w:r w:rsidRPr="00552CEE">
        <w:t xml:space="preserve">Table </w:t>
      </w:r>
      <w:fldSimple w:instr=" SEQ Table \* ARABIC ">
        <w:r w:rsidR="00BA359F">
          <w:rPr>
            <w:noProof/>
          </w:rPr>
          <w:t>14</w:t>
        </w:r>
      </w:fldSimple>
      <w:r w:rsidRPr="00552CEE">
        <w:t xml:space="preserve">: Cash flow waterfall for 1% equity stake in commercial balance sheet project under </w:t>
      </w:r>
      <w:r w:rsidR="00455B86" w:rsidRPr="00552CEE">
        <w:t xml:space="preserve">the public sector grant </w:t>
      </w:r>
      <w:r w:rsidR="001D16A3" w:rsidRPr="00552CEE">
        <w:t>sensitivity</w:t>
      </w:r>
      <w:r w:rsidRPr="00552CEE">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6"/>
        <w:gridCol w:w="45"/>
        <w:gridCol w:w="1431"/>
        <w:gridCol w:w="35"/>
        <w:gridCol w:w="1441"/>
        <w:gridCol w:w="25"/>
        <w:gridCol w:w="1452"/>
        <w:gridCol w:w="15"/>
        <w:gridCol w:w="1346"/>
      </w:tblGrid>
      <w:tr w:rsidR="00625C0B" w:rsidRPr="00552CEE" w14:paraId="22521D6C" w14:textId="284C714B" w:rsidTr="00625C0B">
        <w:tc>
          <w:tcPr>
            <w:tcW w:w="3236" w:type="dxa"/>
            <w:shd w:val="clear" w:color="auto" w:fill="D0CECE" w:themeFill="background2" w:themeFillShade="E6"/>
          </w:tcPr>
          <w:p w14:paraId="324D9525" w14:textId="77777777" w:rsidR="00625C0B" w:rsidRPr="00552CEE" w:rsidRDefault="00625C0B" w:rsidP="00995EE5">
            <w:pPr>
              <w:rPr>
                <w:i/>
                <w:iCs/>
              </w:rPr>
            </w:pPr>
            <w:r w:rsidRPr="00552CEE">
              <w:rPr>
                <w:i/>
                <w:iCs/>
                <w:sz w:val="20"/>
                <w:szCs w:val="20"/>
              </w:rPr>
              <w:t>Values in £million (2025, real, undiscounted)</w:t>
            </w:r>
          </w:p>
        </w:tc>
        <w:tc>
          <w:tcPr>
            <w:tcW w:w="1476" w:type="dxa"/>
            <w:gridSpan w:val="2"/>
            <w:shd w:val="clear" w:color="auto" w:fill="D0CECE" w:themeFill="background2" w:themeFillShade="E6"/>
          </w:tcPr>
          <w:p w14:paraId="655F8142" w14:textId="77777777" w:rsidR="00625C0B" w:rsidRPr="00552CEE" w:rsidRDefault="00625C0B" w:rsidP="00995EE5">
            <w:pPr>
              <w:jc w:val="center"/>
            </w:pPr>
            <w:r w:rsidRPr="00552CEE">
              <w:t>2030</w:t>
            </w:r>
          </w:p>
        </w:tc>
        <w:tc>
          <w:tcPr>
            <w:tcW w:w="1476" w:type="dxa"/>
            <w:gridSpan w:val="2"/>
            <w:shd w:val="clear" w:color="auto" w:fill="D0CECE" w:themeFill="background2" w:themeFillShade="E6"/>
          </w:tcPr>
          <w:p w14:paraId="1BEEB27F" w14:textId="77777777" w:rsidR="00625C0B" w:rsidRPr="00552CEE" w:rsidRDefault="00625C0B" w:rsidP="00995EE5">
            <w:pPr>
              <w:jc w:val="center"/>
            </w:pPr>
            <w:r w:rsidRPr="00552CEE">
              <w:t>2043</w:t>
            </w:r>
          </w:p>
        </w:tc>
        <w:tc>
          <w:tcPr>
            <w:tcW w:w="1477" w:type="dxa"/>
            <w:gridSpan w:val="2"/>
            <w:shd w:val="clear" w:color="auto" w:fill="D0CECE" w:themeFill="background2" w:themeFillShade="E6"/>
          </w:tcPr>
          <w:p w14:paraId="2F426CBB" w14:textId="77777777" w:rsidR="00625C0B" w:rsidRPr="00552CEE" w:rsidRDefault="00625C0B" w:rsidP="00995EE5">
            <w:pPr>
              <w:jc w:val="center"/>
            </w:pPr>
            <w:r w:rsidRPr="00552CEE">
              <w:t>2048</w:t>
            </w:r>
          </w:p>
        </w:tc>
        <w:tc>
          <w:tcPr>
            <w:tcW w:w="1361" w:type="dxa"/>
            <w:gridSpan w:val="2"/>
            <w:shd w:val="clear" w:color="auto" w:fill="D0CECE" w:themeFill="background2" w:themeFillShade="E6"/>
          </w:tcPr>
          <w:p w14:paraId="17A302AC" w14:textId="34D5E540" w:rsidR="00625C0B" w:rsidRPr="00552CEE" w:rsidRDefault="00625C0B" w:rsidP="00995EE5">
            <w:pPr>
              <w:jc w:val="center"/>
            </w:pPr>
            <w:r>
              <w:t>2028 - 58</w:t>
            </w:r>
          </w:p>
        </w:tc>
      </w:tr>
      <w:tr w:rsidR="00625C0B" w:rsidRPr="00552CEE" w14:paraId="629BF5C2" w14:textId="63AA4258" w:rsidTr="00625C0B">
        <w:tc>
          <w:tcPr>
            <w:tcW w:w="3236" w:type="dxa"/>
          </w:tcPr>
          <w:p w14:paraId="433F89C2" w14:textId="77777777" w:rsidR="00625C0B" w:rsidRPr="00552CEE" w:rsidRDefault="00625C0B" w:rsidP="00995EE5">
            <w:r w:rsidRPr="00552CEE">
              <w:t xml:space="preserve">Upfront stake: £31million </w:t>
            </w:r>
          </w:p>
          <w:p w14:paraId="7794A2ED" w14:textId="77777777" w:rsidR="00625C0B" w:rsidRPr="00552CEE" w:rsidRDefault="00625C0B" w:rsidP="00995EE5">
            <w:r w:rsidRPr="00552CEE">
              <w:t>(1% of project)</w:t>
            </w:r>
          </w:p>
        </w:tc>
        <w:tc>
          <w:tcPr>
            <w:tcW w:w="1476" w:type="dxa"/>
            <w:gridSpan w:val="2"/>
          </w:tcPr>
          <w:p w14:paraId="1C3B5AEE" w14:textId="77777777" w:rsidR="00625C0B" w:rsidRPr="00552CEE" w:rsidRDefault="00625C0B" w:rsidP="00995EE5">
            <w:pPr>
              <w:jc w:val="center"/>
            </w:pPr>
          </w:p>
        </w:tc>
        <w:tc>
          <w:tcPr>
            <w:tcW w:w="1476" w:type="dxa"/>
            <w:gridSpan w:val="2"/>
          </w:tcPr>
          <w:p w14:paraId="2C1C279E" w14:textId="77777777" w:rsidR="00625C0B" w:rsidRPr="00552CEE" w:rsidRDefault="00625C0B" w:rsidP="00995EE5">
            <w:pPr>
              <w:jc w:val="center"/>
            </w:pPr>
          </w:p>
        </w:tc>
        <w:tc>
          <w:tcPr>
            <w:tcW w:w="1477" w:type="dxa"/>
            <w:gridSpan w:val="2"/>
          </w:tcPr>
          <w:p w14:paraId="4F2892FE" w14:textId="77777777" w:rsidR="00625C0B" w:rsidRPr="00552CEE" w:rsidRDefault="00625C0B" w:rsidP="00995EE5">
            <w:pPr>
              <w:jc w:val="center"/>
            </w:pPr>
          </w:p>
        </w:tc>
        <w:tc>
          <w:tcPr>
            <w:tcW w:w="1361" w:type="dxa"/>
            <w:gridSpan w:val="2"/>
          </w:tcPr>
          <w:p w14:paraId="15C01D36" w14:textId="77777777" w:rsidR="00625C0B" w:rsidRPr="00552CEE" w:rsidRDefault="00625C0B" w:rsidP="00995EE5">
            <w:pPr>
              <w:jc w:val="center"/>
            </w:pPr>
          </w:p>
        </w:tc>
      </w:tr>
      <w:tr w:rsidR="00625C0B" w:rsidRPr="00552CEE" w14:paraId="3081FFDF" w14:textId="062D6209" w:rsidTr="00625C0B">
        <w:tc>
          <w:tcPr>
            <w:tcW w:w="3236" w:type="dxa"/>
            <w:vAlign w:val="bottom"/>
          </w:tcPr>
          <w:p w14:paraId="14300B5D" w14:textId="77777777" w:rsidR="00625C0B" w:rsidRPr="00552CEE" w:rsidRDefault="00625C0B" w:rsidP="00940A4A">
            <w:r w:rsidRPr="00552CEE">
              <w:t>Revenue</w:t>
            </w:r>
          </w:p>
        </w:tc>
        <w:tc>
          <w:tcPr>
            <w:tcW w:w="1476" w:type="dxa"/>
            <w:gridSpan w:val="2"/>
          </w:tcPr>
          <w:p w14:paraId="1230BA3E" w14:textId="0DDA72A7" w:rsidR="00625C0B" w:rsidRPr="00552CEE" w:rsidRDefault="00625C0B" w:rsidP="00940A4A">
            <w:pPr>
              <w:jc w:val="center"/>
            </w:pPr>
            <w:r w:rsidRPr="00552CEE">
              <w:t>3.8</w:t>
            </w:r>
          </w:p>
        </w:tc>
        <w:tc>
          <w:tcPr>
            <w:tcW w:w="1476" w:type="dxa"/>
            <w:gridSpan w:val="2"/>
          </w:tcPr>
          <w:p w14:paraId="72658CA0" w14:textId="476681B9" w:rsidR="00625C0B" w:rsidRPr="00552CEE" w:rsidRDefault="00625C0B" w:rsidP="00940A4A">
            <w:pPr>
              <w:jc w:val="center"/>
            </w:pPr>
            <w:r w:rsidRPr="00552CEE">
              <w:t>2.4</w:t>
            </w:r>
          </w:p>
        </w:tc>
        <w:tc>
          <w:tcPr>
            <w:tcW w:w="1477" w:type="dxa"/>
            <w:gridSpan w:val="2"/>
          </w:tcPr>
          <w:p w14:paraId="3CD0C77E" w14:textId="7B842073" w:rsidR="00625C0B" w:rsidRPr="00552CEE" w:rsidRDefault="00625C0B" w:rsidP="00940A4A">
            <w:pPr>
              <w:jc w:val="center"/>
            </w:pPr>
            <w:r w:rsidRPr="00552CEE">
              <w:t>2.4</w:t>
            </w:r>
          </w:p>
        </w:tc>
        <w:tc>
          <w:tcPr>
            <w:tcW w:w="1361" w:type="dxa"/>
            <w:gridSpan w:val="2"/>
          </w:tcPr>
          <w:p w14:paraId="16169657" w14:textId="77777777" w:rsidR="00625C0B" w:rsidRPr="00552CEE" w:rsidRDefault="00625C0B" w:rsidP="00940A4A">
            <w:pPr>
              <w:jc w:val="center"/>
            </w:pPr>
          </w:p>
        </w:tc>
      </w:tr>
      <w:tr w:rsidR="00625C0B" w:rsidRPr="00552CEE" w14:paraId="2A59DAC6" w14:textId="7B923B61" w:rsidTr="00625C0B">
        <w:tc>
          <w:tcPr>
            <w:tcW w:w="3236" w:type="dxa"/>
            <w:vAlign w:val="bottom"/>
          </w:tcPr>
          <w:p w14:paraId="0641D25A" w14:textId="77777777" w:rsidR="00625C0B" w:rsidRPr="00552CEE" w:rsidRDefault="00625C0B" w:rsidP="00940A4A">
            <w:r w:rsidRPr="00552CEE">
              <w:t>Operating Costs</w:t>
            </w:r>
          </w:p>
        </w:tc>
        <w:tc>
          <w:tcPr>
            <w:tcW w:w="1476" w:type="dxa"/>
            <w:gridSpan w:val="2"/>
          </w:tcPr>
          <w:p w14:paraId="262F6CFC" w14:textId="56A0B146" w:rsidR="00625C0B" w:rsidRPr="00552CEE" w:rsidRDefault="00625C0B" w:rsidP="00940A4A">
            <w:pPr>
              <w:jc w:val="center"/>
            </w:pPr>
            <w:r w:rsidRPr="00552CEE">
              <w:t>0.8</w:t>
            </w:r>
          </w:p>
        </w:tc>
        <w:tc>
          <w:tcPr>
            <w:tcW w:w="1476" w:type="dxa"/>
            <w:gridSpan w:val="2"/>
          </w:tcPr>
          <w:p w14:paraId="0474D26C" w14:textId="2161C513" w:rsidR="00625C0B" w:rsidRPr="00552CEE" w:rsidRDefault="00625C0B" w:rsidP="00940A4A">
            <w:pPr>
              <w:jc w:val="center"/>
            </w:pPr>
            <w:r w:rsidRPr="00552CEE">
              <w:t>0.8</w:t>
            </w:r>
          </w:p>
        </w:tc>
        <w:tc>
          <w:tcPr>
            <w:tcW w:w="1477" w:type="dxa"/>
            <w:gridSpan w:val="2"/>
          </w:tcPr>
          <w:p w14:paraId="10B928AB" w14:textId="1FA68DED" w:rsidR="00625C0B" w:rsidRPr="00552CEE" w:rsidRDefault="00625C0B" w:rsidP="00940A4A">
            <w:pPr>
              <w:jc w:val="center"/>
            </w:pPr>
            <w:r w:rsidRPr="00552CEE">
              <w:t>0.8</w:t>
            </w:r>
          </w:p>
        </w:tc>
        <w:tc>
          <w:tcPr>
            <w:tcW w:w="1361" w:type="dxa"/>
            <w:gridSpan w:val="2"/>
          </w:tcPr>
          <w:p w14:paraId="33FCE5C9" w14:textId="77777777" w:rsidR="00625C0B" w:rsidRPr="00552CEE" w:rsidRDefault="00625C0B" w:rsidP="00940A4A">
            <w:pPr>
              <w:jc w:val="center"/>
            </w:pPr>
          </w:p>
        </w:tc>
      </w:tr>
      <w:tr w:rsidR="00625C0B" w:rsidRPr="00552CEE" w14:paraId="0E69BDAF" w14:textId="08081914" w:rsidTr="00625C0B">
        <w:tc>
          <w:tcPr>
            <w:tcW w:w="3236" w:type="dxa"/>
            <w:vAlign w:val="bottom"/>
          </w:tcPr>
          <w:p w14:paraId="542AAFAD" w14:textId="77777777" w:rsidR="00625C0B" w:rsidRPr="00552CEE" w:rsidRDefault="00625C0B" w:rsidP="00940A4A">
            <w:pPr>
              <w:rPr>
                <w:color w:val="BFBFBF" w:themeColor="background1" w:themeShade="BF"/>
              </w:rPr>
            </w:pPr>
            <w:r w:rsidRPr="00552CEE">
              <w:rPr>
                <w:color w:val="BFBFBF" w:themeColor="background1" w:themeShade="BF"/>
              </w:rPr>
              <w:t>Commercial debt servicing</w:t>
            </w:r>
          </w:p>
        </w:tc>
        <w:tc>
          <w:tcPr>
            <w:tcW w:w="1476" w:type="dxa"/>
            <w:gridSpan w:val="2"/>
          </w:tcPr>
          <w:p w14:paraId="04A26036" w14:textId="2ADBD8F7" w:rsidR="00625C0B" w:rsidRPr="00552CEE" w:rsidRDefault="00625C0B" w:rsidP="00940A4A">
            <w:pPr>
              <w:jc w:val="center"/>
              <w:rPr>
                <w:color w:val="BFBFBF" w:themeColor="background1" w:themeShade="BF"/>
              </w:rPr>
            </w:pPr>
            <w:r w:rsidRPr="00552CEE">
              <w:rPr>
                <w:color w:val="BFBFBF" w:themeColor="background1" w:themeShade="BF"/>
              </w:rPr>
              <w:t>0.0</w:t>
            </w:r>
          </w:p>
        </w:tc>
        <w:tc>
          <w:tcPr>
            <w:tcW w:w="1476" w:type="dxa"/>
            <w:gridSpan w:val="2"/>
          </w:tcPr>
          <w:p w14:paraId="64519B5B" w14:textId="004AD1E8" w:rsidR="00625C0B" w:rsidRPr="00552CEE" w:rsidRDefault="00625C0B" w:rsidP="00940A4A">
            <w:pPr>
              <w:jc w:val="center"/>
              <w:rPr>
                <w:color w:val="BFBFBF" w:themeColor="background1" w:themeShade="BF"/>
              </w:rPr>
            </w:pPr>
            <w:r w:rsidRPr="00552CEE">
              <w:rPr>
                <w:color w:val="BFBFBF" w:themeColor="background1" w:themeShade="BF"/>
              </w:rPr>
              <w:t>0.0</w:t>
            </w:r>
          </w:p>
        </w:tc>
        <w:tc>
          <w:tcPr>
            <w:tcW w:w="1477" w:type="dxa"/>
            <w:gridSpan w:val="2"/>
          </w:tcPr>
          <w:p w14:paraId="29C1E48D" w14:textId="6A265A4A" w:rsidR="00625C0B" w:rsidRPr="00552CEE" w:rsidRDefault="00625C0B" w:rsidP="00940A4A">
            <w:pPr>
              <w:jc w:val="center"/>
              <w:rPr>
                <w:color w:val="BFBFBF" w:themeColor="background1" w:themeShade="BF"/>
              </w:rPr>
            </w:pPr>
            <w:r w:rsidRPr="00552CEE">
              <w:rPr>
                <w:color w:val="BFBFBF" w:themeColor="background1" w:themeShade="BF"/>
              </w:rPr>
              <w:t>0.0</w:t>
            </w:r>
          </w:p>
        </w:tc>
        <w:tc>
          <w:tcPr>
            <w:tcW w:w="1361" w:type="dxa"/>
            <w:gridSpan w:val="2"/>
          </w:tcPr>
          <w:p w14:paraId="39B6CB90" w14:textId="77777777" w:rsidR="00625C0B" w:rsidRPr="00552CEE" w:rsidRDefault="00625C0B" w:rsidP="00940A4A">
            <w:pPr>
              <w:jc w:val="center"/>
              <w:rPr>
                <w:color w:val="BFBFBF" w:themeColor="background1" w:themeShade="BF"/>
              </w:rPr>
            </w:pPr>
          </w:p>
        </w:tc>
      </w:tr>
      <w:tr w:rsidR="00625C0B" w:rsidRPr="00552CEE" w14:paraId="1993C487" w14:textId="34AC2F1A" w:rsidTr="00625C0B">
        <w:tc>
          <w:tcPr>
            <w:tcW w:w="3236" w:type="dxa"/>
            <w:vAlign w:val="bottom"/>
          </w:tcPr>
          <w:p w14:paraId="099E887E" w14:textId="77777777" w:rsidR="00625C0B" w:rsidRPr="00552CEE" w:rsidRDefault="00625C0B" w:rsidP="00940A4A">
            <w:r w:rsidRPr="00552CEE">
              <w:t>Cash flow from project to SO</w:t>
            </w:r>
          </w:p>
        </w:tc>
        <w:tc>
          <w:tcPr>
            <w:tcW w:w="1476" w:type="dxa"/>
            <w:gridSpan w:val="2"/>
          </w:tcPr>
          <w:p w14:paraId="21E6F9CE" w14:textId="5330F507" w:rsidR="00625C0B" w:rsidRPr="00552CEE" w:rsidRDefault="00625C0B" w:rsidP="00940A4A">
            <w:pPr>
              <w:jc w:val="center"/>
            </w:pPr>
            <w:r w:rsidRPr="00552CEE">
              <w:t>3.0</w:t>
            </w:r>
          </w:p>
        </w:tc>
        <w:tc>
          <w:tcPr>
            <w:tcW w:w="1476" w:type="dxa"/>
            <w:gridSpan w:val="2"/>
          </w:tcPr>
          <w:p w14:paraId="350A17DF" w14:textId="4201DC3D" w:rsidR="00625C0B" w:rsidRPr="00552CEE" w:rsidRDefault="00625C0B" w:rsidP="00940A4A">
            <w:pPr>
              <w:jc w:val="center"/>
            </w:pPr>
            <w:r w:rsidRPr="00552CEE">
              <w:t>1.6</w:t>
            </w:r>
          </w:p>
        </w:tc>
        <w:tc>
          <w:tcPr>
            <w:tcW w:w="1477" w:type="dxa"/>
            <w:gridSpan w:val="2"/>
          </w:tcPr>
          <w:p w14:paraId="5F429D27" w14:textId="0AB729A9" w:rsidR="00625C0B" w:rsidRPr="00552CEE" w:rsidRDefault="00625C0B" w:rsidP="00940A4A">
            <w:pPr>
              <w:jc w:val="center"/>
            </w:pPr>
            <w:r w:rsidRPr="00552CEE">
              <w:t>1.6</w:t>
            </w:r>
          </w:p>
        </w:tc>
        <w:tc>
          <w:tcPr>
            <w:tcW w:w="1361" w:type="dxa"/>
            <w:gridSpan w:val="2"/>
          </w:tcPr>
          <w:p w14:paraId="4C97BF7A" w14:textId="77777777" w:rsidR="00625C0B" w:rsidRPr="00552CEE" w:rsidRDefault="00625C0B" w:rsidP="00940A4A">
            <w:pPr>
              <w:jc w:val="center"/>
            </w:pPr>
          </w:p>
        </w:tc>
      </w:tr>
      <w:tr w:rsidR="00625C0B" w:rsidRPr="00552CEE" w14:paraId="108CBEFA" w14:textId="74998CA6" w:rsidTr="00625C0B">
        <w:tc>
          <w:tcPr>
            <w:tcW w:w="3236" w:type="dxa"/>
            <w:vAlign w:val="bottom"/>
          </w:tcPr>
          <w:p w14:paraId="54E71CF9" w14:textId="77777777" w:rsidR="00625C0B" w:rsidRPr="00552CEE" w:rsidRDefault="00625C0B" w:rsidP="00940A4A">
            <w:r w:rsidRPr="00552CEE">
              <w:t>Public Sector loan servicing</w:t>
            </w:r>
          </w:p>
        </w:tc>
        <w:tc>
          <w:tcPr>
            <w:tcW w:w="1476" w:type="dxa"/>
            <w:gridSpan w:val="2"/>
          </w:tcPr>
          <w:p w14:paraId="414F638F" w14:textId="58668B21" w:rsidR="00625C0B" w:rsidRPr="00552CEE" w:rsidRDefault="00625C0B" w:rsidP="00940A4A">
            <w:pPr>
              <w:jc w:val="center"/>
            </w:pPr>
            <w:r w:rsidRPr="00552CEE">
              <w:t>0.0</w:t>
            </w:r>
          </w:p>
        </w:tc>
        <w:tc>
          <w:tcPr>
            <w:tcW w:w="1476" w:type="dxa"/>
            <w:gridSpan w:val="2"/>
          </w:tcPr>
          <w:p w14:paraId="1DAB3C65" w14:textId="684628E8" w:rsidR="00625C0B" w:rsidRPr="00552CEE" w:rsidRDefault="00625C0B" w:rsidP="00940A4A">
            <w:pPr>
              <w:jc w:val="center"/>
            </w:pPr>
            <w:r w:rsidRPr="00552CEE">
              <w:t>0.0</w:t>
            </w:r>
          </w:p>
        </w:tc>
        <w:tc>
          <w:tcPr>
            <w:tcW w:w="1477" w:type="dxa"/>
            <w:gridSpan w:val="2"/>
          </w:tcPr>
          <w:p w14:paraId="4D38A131" w14:textId="14828A7B" w:rsidR="00625C0B" w:rsidRPr="00552CEE" w:rsidRDefault="00625C0B" w:rsidP="00940A4A">
            <w:pPr>
              <w:jc w:val="center"/>
            </w:pPr>
            <w:r w:rsidRPr="00552CEE">
              <w:t>0.0</w:t>
            </w:r>
          </w:p>
        </w:tc>
        <w:tc>
          <w:tcPr>
            <w:tcW w:w="1361" w:type="dxa"/>
            <w:gridSpan w:val="2"/>
          </w:tcPr>
          <w:p w14:paraId="41B5BAA2" w14:textId="77777777" w:rsidR="00625C0B" w:rsidRPr="00552CEE" w:rsidRDefault="00625C0B" w:rsidP="00940A4A">
            <w:pPr>
              <w:jc w:val="center"/>
            </w:pPr>
          </w:p>
        </w:tc>
      </w:tr>
      <w:tr w:rsidR="00625C0B" w:rsidRPr="00552CEE" w14:paraId="01D984BD" w14:textId="73C5BC47" w:rsidTr="00625C0B">
        <w:tc>
          <w:tcPr>
            <w:tcW w:w="3236" w:type="dxa"/>
            <w:vAlign w:val="bottom"/>
          </w:tcPr>
          <w:p w14:paraId="02873F10" w14:textId="77777777" w:rsidR="00625C0B" w:rsidRPr="00552CEE" w:rsidRDefault="00625C0B" w:rsidP="00940A4A">
            <w:r w:rsidRPr="00552CEE">
              <w:t>Final SO income</w:t>
            </w:r>
          </w:p>
        </w:tc>
        <w:tc>
          <w:tcPr>
            <w:tcW w:w="1476" w:type="dxa"/>
            <w:gridSpan w:val="2"/>
          </w:tcPr>
          <w:p w14:paraId="198AEBCF" w14:textId="074CCDDC" w:rsidR="00625C0B" w:rsidRPr="00552CEE" w:rsidRDefault="00625C0B" w:rsidP="00940A4A">
            <w:pPr>
              <w:jc w:val="center"/>
            </w:pPr>
            <w:r w:rsidRPr="00552CEE">
              <w:t>3.0</w:t>
            </w:r>
          </w:p>
        </w:tc>
        <w:tc>
          <w:tcPr>
            <w:tcW w:w="1476" w:type="dxa"/>
            <w:gridSpan w:val="2"/>
          </w:tcPr>
          <w:p w14:paraId="01851103" w14:textId="248A256B" w:rsidR="00625C0B" w:rsidRPr="00552CEE" w:rsidRDefault="00625C0B" w:rsidP="00940A4A">
            <w:pPr>
              <w:jc w:val="center"/>
            </w:pPr>
            <w:r w:rsidRPr="00552CEE">
              <w:t>1.6</w:t>
            </w:r>
          </w:p>
        </w:tc>
        <w:tc>
          <w:tcPr>
            <w:tcW w:w="1477" w:type="dxa"/>
            <w:gridSpan w:val="2"/>
          </w:tcPr>
          <w:p w14:paraId="68EA5C08" w14:textId="02B03032" w:rsidR="00625C0B" w:rsidRPr="00552CEE" w:rsidRDefault="00625C0B" w:rsidP="00940A4A">
            <w:pPr>
              <w:jc w:val="center"/>
            </w:pPr>
            <w:r w:rsidRPr="00552CEE">
              <w:t>1.6</w:t>
            </w:r>
          </w:p>
        </w:tc>
        <w:tc>
          <w:tcPr>
            <w:tcW w:w="1361" w:type="dxa"/>
            <w:gridSpan w:val="2"/>
          </w:tcPr>
          <w:p w14:paraId="03D4F16C" w14:textId="77777777" w:rsidR="00625C0B" w:rsidRPr="00552CEE" w:rsidRDefault="00625C0B" w:rsidP="00940A4A">
            <w:pPr>
              <w:jc w:val="center"/>
            </w:pPr>
          </w:p>
        </w:tc>
      </w:tr>
      <w:tr w:rsidR="00625C0B" w:rsidRPr="00552CEE" w14:paraId="4DAA86C0" w14:textId="1B3E7901" w:rsidTr="00625C0B">
        <w:tc>
          <w:tcPr>
            <w:tcW w:w="3236" w:type="dxa"/>
            <w:vAlign w:val="bottom"/>
          </w:tcPr>
          <w:p w14:paraId="10C5FFD5" w14:textId="77777777" w:rsidR="00625C0B" w:rsidRPr="00552CEE" w:rsidRDefault="00625C0B" w:rsidP="00995EE5">
            <w:pPr>
              <w:rPr>
                <w:color w:val="AEAAAA" w:themeColor="background2" w:themeShade="BF"/>
              </w:rPr>
            </w:pPr>
            <w:r w:rsidRPr="00552CEE">
              <w:rPr>
                <w:color w:val="AEAAAA" w:themeColor="background2" w:themeShade="BF"/>
              </w:rPr>
              <w:t xml:space="preserve">Basecase final SO income </w:t>
            </w:r>
          </w:p>
        </w:tc>
        <w:tc>
          <w:tcPr>
            <w:tcW w:w="1476" w:type="dxa"/>
            <w:gridSpan w:val="2"/>
          </w:tcPr>
          <w:p w14:paraId="16F45890" w14:textId="77777777" w:rsidR="00625C0B" w:rsidRPr="00552CEE" w:rsidRDefault="00625C0B" w:rsidP="00995EE5">
            <w:pPr>
              <w:jc w:val="center"/>
              <w:rPr>
                <w:color w:val="AEAAAA" w:themeColor="background2" w:themeShade="BF"/>
              </w:rPr>
            </w:pPr>
            <w:r w:rsidRPr="00552CEE">
              <w:rPr>
                <w:color w:val="AEAAAA" w:themeColor="background2" w:themeShade="BF"/>
              </w:rPr>
              <w:t>1.1</w:t>
            </w:r>
          </w:p>
        </w:tc>
        <w:tc>
          <w:tcPr>
            <w:tcW w:w="1476" w:type="dxa"/>
            <w:gridSpan w:val="2"/>
          </w:tcPr>
          <w:p w14:paraId="36F6500C" w14:textId="77777777" w:rsidR="00625C0B" w:rsidRPr="00552CEE" w:rsidRDefault="00625C0B" w:rsidP="00995EE5">
            <w:pPr>
              <w:jc w:val="center"/>
              <w:rPr>
                <w:color w:val="AEAAAA" w:themeColor="background2" w:themeShade="BF"/>
              </w:rPr>
            </w:pPr>
            <w:r w:rsidRPr="00552CEE">
              <w:rPr>
                <w:color w:val="AEAAAA" w:themeColor="background2" w:themeShade="BF"/>
              </w:rPr>
              <w:t>-0.3</w:t>
            </w:r>
          </w:p>
        </w:tc>
        <w:tc>
          <w:tcPr>
            <w:tcW w:w="1477" w:type="dxa"/>
            <w:gridSpan w:val="2"/>
          </w:tcPr>
          <w:p w14:paraId="2269BDFE" w14:textId="77777777" w:rsidR="00625C0B" w:rsidRPr="00552CEE" w:rsidRDefault="00625C0B" w:rsidP="00995EE5">
            <w:pPr>
              <w:jc w:val="center"/>
              <w:rPr>
                <w:color w:val="AEAAAA" w:themeColor="background2" w:themeShade="BF"/>
              </w:rPr>
            </w:pPr>
            <w:r w:rsidRPr="00552CEE">
              <w:rPr>
                <w:color w:val="AEAAAA" w:themeColor="background2" w:themeShade="BF"/>
              </w:rPr>
              <w:t>1.6</w:t>
            </w:r>
          </w:p>
        </w:tc>
        <w:tc>
          <w:tcPr>
            <w:tcW w:w="1361" w:type="dxa"/>
            <w:gridSpan w:val="2"/>
          </w:tcPr>
          <w:p w14:paraId="46B4DAC1" w14:textId="77777777" w:rsidR="00625C0B" w:rsidRPr="00552CEE" w:rsidRDefault="00625C0B" w:rsidP="00995EE5">
            <w:pPr>
              <w:jc w:val="center"/>
              <w:rPr>
                <w:color w:val="AEAAAA" w:themeColor="background2" w:themeShade="BF"/>
              </w:rPr>
            </w:pPr>
          </w:p>
        </w:tc>
      </w:tr>
      <w:tr w:rsidR="00625C0B" w:rsidRPr="00552CEE" w14:paraId="07B7FB7F" w14:textId="77777777" w:rsidTr="004E2AB3">
        <w:tc>
          <w:tcPr>
            <w:tcW w:w="3281" w:type="dxa"/>
            <w:gridSpan w:val="2"/>
            <w:vAlign w:val="bottom"/>
          </w:tcPr>
          <w:p w14:paraId="7E483154" w14:textId="77777777" w:rsidR="00625C0B" w:rsidRDefault="00625C0B" w:rsidP="00625C0B">
            <w:r>
              <w:t>Cumulative lifetime income</w:t>
            </w:r>
          </w:p>
          <w:p w14:paraId="14E80E0B" w14:textId="32996F42" w:rsidR="00625C0B" w:rsidRPr="00552CEE" w:rsidRDefault="00625C0B" w:rsidP="00625C0B">
            <w:r>
              <w:t>(30 years, undiscounted)</w:t>
            </w:r>
          </w:p>
        </w:tc>
        <w:tc>
          <w:tcPr>
            <w:tcW w:w="1466" w:type="dxa"/>
            <w:gridSpan w:val="2"/>
          </w:tcPr>
          <w:p w14:paraId="256F70E6" w14:textId="77777777" w:rsidR="00625C0B" w:rsidRPr="00552CEE" w:rsidRDefault="00625C0B" w:rsidP="004E2AB3">
            <w:pPr>
              <w:jc w:val="center"/>
            </w:pPr>
          </w:p>
        </w:tc>
        <w:tc>
          <w:tcPr>
            <w:tcW w:w="1466" w:type="dxa"/>
            <w:gridSpan w:val="2"/>
          </w:tcPr>
          <w:p w14:paraId="3F4AE42C" w14:textId="77777777" w:rsidR="00625C0B" w:rsidRPr="00552CEE" w:rsidRDefault="00625C0B" w:rsidP="004E2AB3">
            <w:pPr>
              <w:jc w:val="center"/>
              <w:rPr>
                <w:color w:val="C00000" w:themeColor="accent4"/>
              </w:rPr>
            </w:pPr>
          </w:p>
        </w:tc>
        <w:tc>
          <w:tcPr>
            <w:tcW w:w="1467" w:type="dxa"/>
            <w:gridSpan w:val="2"/>
          </w:tcPr>
          <w:p w14:paraId="372043CD" w14:textId="77777777" w:rsidR="00625C0B" w:rsidRPr="00552CEE" w:rsidRDefault="00625C0B" w:rsidP="004E2AB3">
            <w:pPr>
              <w:jc w:val="center"/>
            </w:pPr>
          </w:p>
        </w:tc>
        <w:tc>
          <w:tcPr>
            <w:tcW w:w="1346" w:type="dxa"/>
          </w:tcPr>
          <w:p w14:paraId="6BD5E4D0" w14:textId="59242E0F" w:rsidR="00625C0B" w:rsidRPr="00552CEE" w:rsidRDefault="00625C0B" w:rsidP="004E2AB3">
            <w:pPr>
              <w:jc w:val="center"/>
            </w:pPr>
            <w:r>
              <w:t>69.0</w:t>
            </w:r>
          </w:p>
        </w:tc>
      </w:tr>
    </w:tbl>
    <w:p w14:paraId="2200468C" w14:textId="77777777" w:rsidR="00972191" w:rsidRDefault="00972191" w:rsidP="00972191"/>
    <w:p w14:paraId="1207EC36" w14:textId="77777777" w:rsidR="00625C0B" w:rsidRPr="00552CEE" w:rsidRDefault="00625C0B" w:rsidP="00972191"/>
    <w:p w14:paraId="7F9F37AE" w14:textId="71EA157E" w:rsidR="00972191" w:rsidRPr="00552CEE" w:rsidRDefault="00972191" w:rsidP="00972191">
      <w:pPr>
        <w:pStyle w:val="Caption"/>
        <w:keepNext/>
        <w:jc w:val="center"/>
      </w:pPr>
      <w:r w:rsidRPr="00552CEE">
        <w:t xml:space="preserve">Table </w:t>
      </w:r>
      <w:fldSimple w:instr=" SEQ Table \* ARABIC ">
        <w:r w:rsidR="00BA359F">
          <w:rPr>
            <w:noProof/>
          </w:rPr>
          <w:t>15</w:t>
        </w:r>
      </w:fldSimple>
      <w:r w:rsidRPr="00552CEE">
        <w:t xml:space="preserve">: Cash flow waterfall for 2% equity stake in project-financed joint venture project under </w:t>
      </w:r>
      <w:r w:rsidR="00455B86" w:rsidRPr="00552CEE">
        <w:t>the public sector grant sensitivity</w:t>
      </w:r>
      <w:r w:rsidRPr="00552CEE">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6"/>
        <w:gridCol w:w="45"/>
        <w:gridCol w:w="1431"/>
        <w:gridCol w:w="35"/>
        <w:gridCol w:w="1441"/>
        <w:gridCol w:w="25"/>
        <w:gridCol w:w="1452"/>
        <w:gridCol w:w="15"/>
        <w:gridCol w:w="1346"/>
      </w:tblGrid>
      <w:tr w:rsidR="00625C0B" w:rsidRPr="00552CEE" w14:paraId="32060DAD" w14:textId="1F4A0E91" w:rsidTr="00625C0B">
        <w:tc>
          <w:tcPr>
            <w:tcW w:w="3236" w:type="dxa"/>
            <w:shd w:val="clear" w:color="auto" w:fill="D0CECE" w:themeFill="background2" w:themeFillShade="E6"/>
          </w:tcPr>
          <w:p w14:paraId="1A2811B6" w14:textId="77777777" w:rsidR="00625C0B" w:rsidRPr="00552CEE" w:rsidRDefault="00625C0B" w:rsidP="00995EE5">
            <w:pPr>
              <w:rPr>
                <w:i/>
                <w:iCs/>
              </w:rPr>
            </w:pPr>
            <w:r w:rsidRPr="00552CEE">
              <w:rPr>
                <w:i/>
                <w:iCs/>
                <w:sz w:val="20"/>
                <w:szCs w:val="20"/>
              </w:rPr>
              <w:t>Values in £million (2025, real, undiscounted)</w:t>
            </w:r>
          </w:p>
        </w:tc>
        <w:tc>
          <w:tcPr>
            <w:tcW w:w="1476" w:type="dxa"/>
            <w:gridSpan w:val="2"/>
            <w:shd w:val="clear" w:color="auto" w:fill="D0CECE" w:themeFill="background2" w:themeFillShade="E6"/>
          </w:tcPr>
          <w:p w14:paraId="0E3C4491" w14:textId="77777777" w:rsidR="00625C0B" w:rsidRPr="00552CEE" w:rsidRDefault="00625C0B" w:rsidP="00995EE5">
            <w:pPr>
              <w:jc w:val="center"/>
            </w:pPr>
            <w:r w:rsidRPr="00552CEE">
              <w:t>2030</w:t>
            </w:r>
          </w:p>
        </w:tc>
        <w:tc>
          <w:tcPr>
            <w:tcW w:w="1476" w:type="dxa"/>
            <w:gridSpan w:val="2"/>
            <w:shd w:val="clear" w:color="auto" w:fill="D0CECE" w:themeFill="background2" w:themeFillShade="E6"/>
          </w:tcPr>
          <w:p w14:paraId="391F3329" w14:textId="77777777" w:rsidR="00625C0B" w:rsidRPr="00552CEE" w:rsidRDefault="00625C0B" w:rsidP="00995EE5">
            <w:pPr>
              <w:jc w:val="center"/>
            </w:pPr>
            <w:r w:rsidRPr="00552CEE">
              <w:t>2043</w:t>
            </w:r>
          </w:p>
        </w:tc>
        <w:tc>
          <w:tcPr>
            <w:tcW w:w="1477" w:type="dxa"/>
            <w:gridSpan w:val="2"/>
            <w:shd w:val="clear" w:color="auto" w:fill="D0CECE" w:themeFill="background2" w:themeFillShade="E6"/>
          </w:tcPr>
          <w:p w14:paraId="7CFA867B" w14:textId="77777777" w:rsidR="00625C0B" w:rsidRPr="00552CEE" w:rsidRDefault="00625C0B" w:rsidP="00995EE5">
            <w:pPr>
              <w:jc w:val="center"/>
            </w:pPr>
            <w:r w:rsidRPr="00552CEE">
              <w:t>2048</w:t>
            </w:r>
          </w:p>
        </w:tc>
        <w:tc>
          <w:tcPr>
            <w:tcW w:w="1361" w:type="dxa"/>
            <w:gridSpan w:val="2"/>
            <w:shd w:val="clear" w:color="auto" w:fill="D0CECE" w:themeFill="background2" w:themeFillShade="E6"/>
          </w:tcPr>
          <w:p w14:paraId="771D84E6" w14:textId="70B564FB" w:rsidR="00625C0B" w:rsidRPr="00552CEE" w:rsidRDefault="00625C0B" w:rsidP="00995EE5">
            <w:pPr>
              <w:jc w:val="center"/>
            </w:pPr>
            <w:r>
              <w:t>2028 - 58</w:t>
            </w:r>
          </w:p>
        </w:tc>
      </w:tr>
      <w:tr w:rsidR="00625C0B" w:rsidRPr="00552CEE" w14:paraId="525EEB0F" w14:textId="42805C8C" w:rsidTr="00625C0B">
        <w:tc>
          <w:tcPr>
            <w:tcW w:w="3236" w:type="dxa"/>
          </w:tcPr>
          <w:p w14:paraId="2D477C64" w14:textId="2B6AEE0E" w:rsidR="00625C0B" w:rsidRPr="00552CEE" w:rsidRDefault="00625C0B" w:rsidP="00995EE5">
            <w:r w:rsidRPr="00552CEE">
              <w:t xml:space="preserve">Upfront stake: £30million </w:t>
            </w:r>
          </w:p>
          <w:p w14:paraId="2A7BDA4D" w14:textId="77777777" w:rsidR="00625C0B" w:rsidRPr="00552CEE" w:rsidRDefault="00625C0B" w:rsidP="00995EE5">
            <w:r w:rsidRPr="00552CEE">
              <w:t>(2% of equity in Joint Venture SPV)</w:t>
            </w:r>
          </w:p>
        </w:tc>
        <w:tc>
          <w:tcPr>
            <w:tcW w:w="1476" w:type="dxa"/>
            <w:gridSpan w:val="2"/>
          </w:tcPr>
          <w:p w14:paraId="6C728ADF" w14:textId="77777777" w:rsidR="00625C0B" w:rsidRPr="00552CEE" w:rsidRDefault="00625C0B" w:rsidP="00995EE5">
            <w:pPr>
              <w:jc w:val="center"/>
            </w:pPr>
          </w:p>
        </w:tc>
        <w:tc>
          <w:tcPr>
            <w:tcW w:w="1476" w:type="dxa"/>
            <w:gridSpan w:val="2"/>
          </w:tcPr>
          <w:p w14:paraId="0146711F" w14:textId="77777777" w:rsidR="00625C0B" w:rsidRPr="00552CEE" w:rsidRDefault="00625C0B" w:rsidP="00995EE5">
            <w:pPr>
              <w:jc w:val="center"/>
            </w:pPr>
          </w:p>
        </w:tc>
        <w:tc>
          <w:tcPr>
            <w:tcW w:w="1477" w:type="dxa"/>
            <w:gridSpan w:val="2"/>
          </w:tcPr>
          <w:p w14:paraId="066E5927" w14:textId="77777777" w:rsidR="00625C0B" w:rsidRPr="00552CEE" w:rsidRDefault="00625C0B" w:rsidP="00995EE5">
            <w:pPr>
              <w:jc w:val="center"/>
            </w:pPr>
          </w:p>
        </w:tc>
        <w:tc>
          <w:tcPr>
            <w:tcW w:w="1361" w:type="dxa"/>
            <w:gridSpan w:val="2"/>
          </w:tcPr>
          <w:p w14:paraId="516B3D67" w14:textId="77777777" w:rsidR="00625C0B" w:rsidRPr="00552CEE" w:rsidRDefault="00625C0B" w:rsidP="00995EE5">
            <w:pPr>
              <w:jc w:val="center"/>
            </w:pPr>
          </w:p>
        </w:tc>
      </w:tr>
      <w:tr w:rsidR="00625C0B" w:rsidRPr="00552CEE" w14:paraId="02E65C80" w14:textId="1A1F6A64" w:rsidTr="00625C0B">
        <w:tc>
          <w:tcPr>
            <w:tcW w:w="3236" w:type="dxa"/>
            <w:vAlign w:val="bottom"/>
          </w:tcPr>
          <w:p w14:paraId="1E6C8523" w14:textId="77777777" w:rsidR="00625C0B" w:rsidRPr="00552CEE" w:rsidRDefault="00625C0B" w:rsidP="00AF0E8F">
            <w:r w:rsidRPr="00552CEE">
              <w:t>Revenue</w:t>
            </w:r>
          </w:p>
        </w:tc>
        <w:tc>
          <w:tcPr>
            <w:tcW w:w="1476" w:type="dxa"/>
            <w:gridSpan w:val="2"/>
          </w:tcPr>
          <w:p w14:paraId="443C4C68" w14:textId="1C7E5EB5" w:rsidR="00625C0B" w:rsidRPr="00552CEE" w:rsidRDefault="00625C0B" w:rsidP="00AF0E8F">
            <w:pPr>
              <w:jc w:val="center"/>
            </w:pPr>
            <w:r w:rsidRPr="00552CEE">
              <w:t>7.5</w:t>
            </w:r>
          </w:p>
        </w:tc>
        <w:tc>
          <w:tcPr>
            <w:tcW w:w="1476" w:type="dxa"/>
            <w:gridSpan w:val="2"/>
          </w:tcPr>
          <w:p w14:paraId="584C1090" w14:textId="33260870" w:rsidR="00625C0B" w:rsidRPr="00552CEE" w:rsidRDefault="00625C0B" w:rsidP="00AF0E8F">
            <w:pPr>
              <w:jc w:val="center"/>
            </w:pPr>
            <w:r w:rsidRPr="00552CEE">
              <w:t>4.8</w:t>
            </w:r>
          </w:p>
        </w:tc>
        <w:tc>
          <w:tcPr>
            <w:tcW w:w="1477" w:type="dxa"/>
            <w:gridSpan w:val="2"/>
          </w:tcPr>
          <w:p w14:paraId="79245BE5" w14:textId="0C4E35E7" w:rsidR="00625C0B" w:rsidRPr="00552CEE" w:rsidRDefault="00625C0B" w:rsidP="00AF0E8F">
            <w:pPr>
              <w:jc w:val="center"/>
            </w:pPr>
            <w:r w:rsidRPr="00552CEE">
              <w:t>4.8</w:t>
            </w:r>
          </w:p>
        </w:tc>
        <w:tc>
          <w:tcPr>
            <w:tcW w:w="1361" w:type="dxa"/>
            <w:gridSpan w:val="2"/>
          </w:tcPr>
          <w:p w14:paraId="42414D3A" w14:textId="77777777" w:rsidR="00625C0B" w:rsidRPr="00552CEE" w:rsidRDefault="00625C0B" w:rsidP="00AF0E8F">
            <w:pPr>
              <w:jc w:val="center"/>
            </w:pPr>
          </w:p>
        </w:tc>
      </w:tr>
      <w:tr w:rsidR="00625C0B" w:rsidRPr="00552CEE" w14:paraId="755F9B2C" w14:textId="5E3C8E2C" w:rsidTr="00625C0B">
        <w:tc>
          <w:tcPr>
            <w:tcW w:w="3236" w:type="dxa"/>
            <w:vAlign w:val="bottom"/>
          </w:tcPr>
          <w:p w14:paraId="5A775B29" w14:textId="77777777" w:rsidR="00625C0B" w:rsidRPr="00552CEE" w:rsidRDefault="00625C0B" w:rsidP="00AF0E8F">
            <w:r w:rsidRPr="00552CEE">
              <w:t>Operating Costs</w:t>
            </w:r>
          </w:p>
        </w:tc>
        <w:tc>
          <w:tcPr>
            <w:tcW w:w="1476" w:type="dxa"/>
            <w:gridSpan w:val="2"/>
          </w:tcPr>
          <w:p w14:paraId="2FF12ABC" w14:textId="75F17ACC" w:rsidR="00625C0B" w:rsidRPr="00552CEE" w:rsidRDefault="00625C0B" w:rsidP="00AF0E8F">
            <w:pPr>
              <w:jc w:val="center"/>
            </w:pPr>
            <w:r w:rsidRPr="00552CEE">
              <w:t>1.6</w:t>
            </w:r>
          </w:p>
        </w:tc>
        <w:tc>
          <w:tcPr>
            <w:tcW w:w="1476" w:type="dxa"/>
            <w:gridSpan w:val="2"/>
          </w:tcPr>
          <w:p w14:paraId="52013BEC" w14:textId="56162755" w:rsidR="00625C0B" w:rsidRPr="00552CEE" w:rsidRDefault="00625C0B" w:rsidP="00AF0E8F">
            <w:pPr>
              <w:jc w:val="center"/>
            </w:pPr>
            <w:r w:rsidRPr="00552CEE">
              <w:t>1.6</w:t>
            </w:r>
          </w:p>
        </w:tc>
        <w:tc>
          <w:tcPr>
            <w:tcW w:w="1477" w:type="dxa"/>
            <w:gridSpan w:val="2"/>
          </w:tcPr>
          <w:p w14:paraId="1464AD78" w14:textId="4D2387C7" w:rsidR="00625C0B" w:rsidRPr="00552CEE" w:rsidRDefault="00625C0B" w:rsidP="00AF0E8F">
            <w:pPr>
              <w:jc w:val="center"/>
            </w:pPr>
            <w:r w:rsidRPr="00552CEE">
              <w:t>1.6</w:t>
            </w:r>
          </w:p>
        </w:tc>
        <w:tc>
          <w:tcPr>
            <w:tcW w:w="1361" w:type="dxa"/>
            <w:gridSpan w:val="2"/>
          </w:tcPr>
          <w:p w14:paraId="54272199" w14:textId="77777777" w:rsidR="00625C0B" w:rsidRPr="00552CEE" w:rsidRDefault="00625C0B" w:rsidP="00AF0E8F">
            <w:pPr>
              <w:jc w:val="center"/>
            </w:pPr>
          </w:p>
        </w:tc>
      </w:tr>
      <w:tr w:rsidR="00625C0B" w:rsidRPr="00552CEE" w14:paraId="4C6584E7" w14:textId="7C40CED5" w:rsidTr="00625C0B">
        <w:tc>
          <w:tcPr>
            <w:tcW w:w="3236" w:type="dxa"/>
            <w:vAlign w:val="bottom"/>
          </w:tcPr>
          <w:p w14:paraId="6FD0EB3B" w14:textId="77777777" w:rsidR="00625C0B" w:rsidRPr="00552CEE" w:rsidRDefault="00625C0B" w:rsidP="00AF0E8F">
            <w:r w:rsidRPr="00552CEE">
              <w:t>Commercial debt servicing</w:t>
            </w:r>
          </w:p>
        </w:tc>
        <w:tc>
          <w:tcPr>
            <w:tcW w:w="1476" w:type="dxa"/>
            <w:gridSpan w:val="2"/>
          </w:tcPr>
          <w:p w14:paraId="3CDD2734" w14:textId="572E1C8B" w:rsidR="00625C0B" w:rsidRPr="00552CEE" w:rsidRDefault="00625C0B" w:rsidP="00AF0E8F">
            <w:pPr>
              <w:jc w:val="center"/>
            </w:pPr>
            <w:r w:rsidRPr="00552CEE">
              <w:t>4.1</w:t>
            </w:r>
          </w:p>
        </w:tc>
        <w:tc>
          <w:tcPr>
            <w:tcW w:w="1476" w:type="dxa"/>
            <w:gridSpan w:val="2"/>
          </w:tcPr>
          <w:p w14:paraId="0B35B79B" w14:textId="5A236EBB" w:rsidR="00625C0B" w:rsidRPr="00552CEE" w:rsidRDefault="00625C0B" w:rsidP="00AF0E8F">
            <w:pPr>
              <w:jc w:val="center"/>
            </w:pPr>
            <w:r w:rsidRPr="00552CEE">
              <w:t>0.0</w:t>
            </w:r>
          </w:p>
        </w:tc>
        <w:tc>
          <w:tcPr>
            <w:tcW w:w="1477" w:type="dxa"/>
            <w:gridSpan w:val="2"/>
          </w:tcPr>
          <w:p w14:paraId="26D17440" w14:textId="09924533" w:rsidR="00625C0B" w:rsidRPr="00552CEE" w:rsidRDefault="00625C0B" w:rsidP="00AF0E8F">
            <w:pPr>
              <w:jc w:val="center"/>
            </w:pPr>
            <w:r w:rsidRPr="00552CEE">
              <w:t>0.0</w:t>
            </w:r>
          </w:p>
        </w:tc>
        <w:tc>
          <w:tcPr>
            <w:tcW w:w="1361" w:type="dxa"/>
            <w:gridSpan w:val="2"/>
          </w:tcPr>
          <w:p w14:paraId="5D4BC2EE" w14:textId="77777777" w:rsidR="00625C0B" w:rsidRPr="00552CEE" w:rsidRDefault="00625C0B" w:rsidP="00AF0E8F">
            <w:pPr>
              <w:jc w:val="center"/>
            </w:pPr>
          </w:p>
        </w:tc>
      </w:tr>
      <w:tr w:rsidR="00625C0B" w:rsidRPr="00552CEE" w14:paraId="3586B545" w14:textId="3E82008C" w:rsidTr="00625C0B">
        <w:tc>
          <w:tcPr>
            <w:tcW w:w="3236" w:type="dxa"/>
            <w:vAlign w:val="bottom"/>
          </w:tcPr>
          <w:p w14:paraId="6DA880F6" w14:textId="77777777" w:rsidR="00625C0B" w:rsidRPr="00552CEE" w:rsidRDefault="00625C0B" w:rsidP="00AF0E8F">
            <w:r w:rsidRPr="00552CEE">
              <w:t>Cash flow from project to SO</w:t>
            </w:r>
          </w:p>
        </w:tc>
        <w:tc>
          <w:tcPr>
            <w:tcW w:w="1476" w:type="dxa"/>
            <w:gridSpan w:val="2"/>
          </w:tcPr>
          <w:p w14:paraId="74683E8C" w14:textId="74F91E20" w:rsidR="00625C0B" w:rsidRPr="00552CEE" w:rsidRDefault="00625C0B" w:rsidP="00AF0E8F">
            <w:pPr>
              <w:jc w:val="center"/>
            </w:pPr>
            <w:r w:rsidRPr="00552CEE">
              <w:t>1.8</w:t>
            </w:r>
          </w:p>
        </w:tc>
        <w:tc>
          <w:tcPr>
            <w:tcW w:w="1476" w:type="dxa"/>
            <w:gridSpan w:val="2"/>
          </w:tcPr>
          <w:p w14:paraId="5E347153" w14:textId="3592F115" w:rsidR="00625C0B" w:rsidRPr="00552CEE" w:rsidRDefault="00625C0B" w:rsidP="00AF0E8F">
            <w:pPr>
              <w:jc w:val="center"/>
            </w:pPr>
            <w:r w:rsidRPr="00552CEE">
              <w:t>3.2</w:t>
            </w:r>
          </w:p>
        </w:tc>
        <w:tc>
          <w:tcPr>
            <w:tcW w:w="1477" w:type="dxa"/>
            <w:gridSpan w:val="2"/>
          </w:tcPr>
          <w:p w14:paraId="1CEC6FB8" w14:textId="29515D92" w:rsidR="00625C0B" w:rsidRPr="00552CEE" w:rsidRDefault="00625C0B" w:rsidP="00AF0E8F">
            <w:pPr>
              <w:jc w:val="center"/>
            </w:pPr>
            <w:r w:rsidRPr="00552CEE">
              <w:t>3.2</w:t>
            </w:r>
          </w:p>
        </w:tc>
        <w:tc>
          <w:tcPr>
            <w:tcW w:w="1361" w:type="dxa"/>
            <w:gridSpan w:val="2"/>
          </w:tcPr>
          <w:p w14:paraId="1C5BDDC4" w14:textId="77777777" w:rsidR="00625C0B" w:rsidRPr="00552CEE" w:rsidRDefault="00625C0B" w:rsidP="00AF0E8F">
            <w:pPr>
              <w:jc w:val="center"/>
            </w:pPr>
          </w:p>
        </w:tc>
      </w:tr>
      <w:tr w:rsidR="00625C0B" w:rsidRPr="00552CEE" w14:paraId="484B9A05" w14:textId="0B57790E" w:rsidTr="00625C0B">
        <w:tc>
          <w:tcPr>
            <w:tcW w:w="3236" w:type="dxa"/>
            <w:vAlign w:val="bottom"/>
          </w:tcPr>
          <w:p w14:paraId="0BE4E03A" w14:textId="77777777" w:rsidR="00625C0B" w:rsidRPr="00552CEE" w:rsidRDefault="00625C0B" w:rsidP="00AF0E8F">
            <w:r w:rsidRPr="00552CEE">
              <w:t>Public Sector loan servicing</w:t>
            </w:r>
          </w:p>
        </w:tc>
        <w:tc>
          <w:tcPr>
            <w:tcW w:w="1476" w:type="dxa"/>
            <w:gridSpan w:val="2"/>
          </w:tcPr>
          <w:p w14:paraId="667AC179" w14:textId="031B8A1D" w:rsidR="00625C0B" w:rsidRPr="00552CEE" w:rsidRDefault="00625C0B" w:rsidP="00AF0E8F">
            <w:pPr>
              <w:jc w:val="center"/>
            </w:pPr>
            <w:r w:rsidRPr="00552CEE">
              <w:t>0.0</w:t>
            </w:r>
          </w:p>
        </w:tc>
        <w:tc>
          <w:tcPr>
            <w:tcW w:w="1476" w:type="dxa"/>
            <w:gridSpan w:val="2"/>
          </w:tcPr>
          <w:p w14:paraId="0E5D25D6" w14:textId="33CA17CA" w:rsidR="00625C0B" w:rsidRPr="00552CEE" w:rsidRDefault="00625C0B" w:rsidP="00AF0E8F">
            <w:pPr>
              <w:jc w:val="center"/>
            </w:pPr>
            <w:r w:rsidRPr="00552CEE">
              <w:t>0.0</w:t>
            </w:r>
          </w:p>
        </w:tc>
        <w:tc>
          <w:tcPr>
            <w:tcW w:w="1477" w:type="dxa"/>
            <w:gridSpan w:val="2"/>
          </w:tcPr>
          <w:p w14:paraId="26814548" w14:textId="66AD269E" w:rsidR="00625C0B" w:rsidRPr="00552CEE" w:rsidRDefault="00625C0B" w:rsidP="00AF0E8F">
            <w:pPr>
              <w:jc w:val="center"/>
            </w:pPr>
            <w:r w:rsidRPr="00552CEE">
              <w:t>0.0</w:t>
            </w:r>
          </w:p>
        </w:tc>
        <w:tc>
          <w:tcPr>
            <w:tcW w:w="1361" w:type="dxa"/>
            <w:gridSpan w:val="2"/>
          </w:tcPr>
          <w:p w14:paraId="35CBC130" w14:textId="77777777" w:rsidR="00625C0B" w:rsidRPr="00552CEE" w:rsidRDefault="00625C0B" w:rsidP="00AF0E8F">
            <w:pPr>
              <w:jc w:val="center"/>
            </w:pPr>
          </w:p>
        </w:tc>
      </w:tr>
      <w:tr w:rsidR="00625C0B" w:rsidRPr="00552CEE" w14:paraId="58E1B2C2" w14:textId="64BF23A1" w:rsidTr="00625C0B">
        <w:trPr>
          <w:trHeight w:val="44"/>
        </w:trPr>
        <w:tc>
          <w:tcPr>
            <w:tcW w:w="3236" w:type="dxa"/>
            <w:vAlign w:val="bottom"/>
          </w:tcPr>
          <w:p w14:paraId="17609ADE" w14:textId="77777777" w:rsidR="00625C0B" w:rsidRPr="00552CEE" w:rsidRDefault="00625C0B" w:rsidP="00AF0E8F">
            <w:r w:rsidRPr="00552CEE">
              <w:t>Final SO income</w:t>
            </w:r>
          </w:p>
        </w:tc>
        <w:tc>
          <w:tcPr>
            <w:tcW w:w="1476" w:type="dxa"/>
            <w:gridSpan w:val="2"/>
          </w:tcPr>
          <w:p w14:paraId="70220373" w14:textId="338AB29F" w:rsidR="00625C0B" w:rsidRPr="00552CEE" w:rsidRDefault="00625C0B" w:rsidP="00AF0E8F">
            <w:pPr>
              <w:jc w:val="center"/>
              <w:rPr>
                <w:color w:val="C00000" w:themeColor="accent4"/>
              </w:rPr>
            </w:pPr>
            <w:r w:rsidRPr="00552CEE">
              <w:t>1.8</w:t>
            </w:r>
          </w:p>
        </w:tc>
        <w:tc>
          <w:tcPr>
            <w:tcW w:w="1476" w:type="dxa"/>
            <w:gridSpan w:val="2"/>
          </w:tcPr>
          <w:p w14:paraId="63EB3395" w14:textId="13F04692" w:rsidR="00625C0B" w:rsidRPr="00552CEE" w:rsidRDefault="00625C0B" w:rsidP="00AF0E8F">
            <w:pPr>
              <w:jc w:val="center"/>
              <w:rPr>
                <w:color w:val="C00000" w:themeColor="accent4"/>
              </w:rPr>
            </w:pPr>
            <w:r w:rsidRPr="00552CEE">
              <w:t>3.2</w:t>
            </w:r>
          </w:p>
        </w:tc>
        <w:tc>
          <w:tcPr>
            <w:tcW w:w="1477" w:type="dxa"/>
            <w:gridSpan w:val="2"/>
          </w:tcPr>
          <w:p w14:paraId="5126CF0B" w14:textId="5D95D847" w:rsidR="00625C0B" w:rsidRPr="00552CEE" w:rsidRDefault="00625C0B" w:rsidP="00AF0E8F">
            <w:pPr>
              <w:jc w:val="center"/>
            </w:pPr>
            <w:r w:rsidRPr="00552CEE">
              <w:t>3.2</w:t>
            </w:r>
          </w:p>
        </w:tc>
        <w:tc>
          <w:tcPr>
            <w:tcW w:w="1361" w:type="dxa"/>
            <w:gridSpan w:val="2"/>
          </w:tcPr>
          <w:p w14:paraId="13C6C57C" w14:textId="77777777" w:rsidR="00625C0B" w:rsidRPr="00552CEE" w:rsidRDefault="00625C0B" w:rsidP="00AF0E8F">
            <w:pPr>
              <w:jc w:val="center"/>
            </w:pPr>
          </w:p>
        </w:tc>
      </w:tr>
      <w:tr w:rsidR="00625C0B" w:rsidRPr="00552CEE" w14:paraId="00B44A17" w14:textId="4B92F266" w:rsidTr="00625C0B">
        <w:trPr>
          <w:trHeight w:val="44"/>
        </w:trPr>
        <w:tc>
          <w:tcPr>
            <w:tcW w:w="3236" w:type="dxa"/>
            <w:vAlign w:val="bottom"/>
          </w:tcPr>
          <w:p w14:paraId="6593AD8B" w14:textId="2F1302A4" w:rsidR="00625C0B" w:rsidRPr="00552CEE" w:rsidRDefault="00625C0B" w:rsidP="008651BA">
            <w:r w:rsidRPr="00552CEE">
              <w:rPr>
                <w:color w:val="A6A6A6" w:themeColor="background1" w:themeShade="A6"/>
              </w:rPr>
              <w:t>Basecase final SO income</w:t>
            </w:r>
          </w:p>
        </w:tc>
        <w:tc>
          <w:tcPr>
            <w:tcW w:w="1476" w:type="dxa"/>
            <w:gridSpan w:val="2"/>
          </w:tcPr>
          <w:p w14:paraId="6D758B01" w14:textId="350BD273" w:rsidR="00625C0B" w:rsidRPr="00552CEE" w:rsidRDefault="00625C0B" w:rsidP="008651BA">
            <w:pPr>
              <w:jc w:val="center"/>
              <w:rPr>
                <w:color w:val="C00000" w:themeColor="accent4"/>
              </w:rPr>
            </w:pPr>
            <w:r w:rsidRPr="00552CEE">
              <w:rPr>
                <w:color w:val="A6A6A6" w:themeColor="background1" w:themeShade="A6"/>
              </w:rPr>
              <w:t>0.3</w:t>
            </w:r>
          </w:p>
        </w:tc>
        <w:tc>
          <w:tcPr>
            <w:tcW w:w="1476" w:type="dxa"/>
            <w:gridSpan w:val="2"/>
          </w:tcPr>
          <w:p w14:paraId="51629994" w14:textId="77A2232D" w:rsidR="00625C0B" w:rsidRPr="00552CEE" w:rsidRDefault="00625C0B" w:rsidP="008651BA">
            <w:pPr>
              <w:jc w:val="center"/>
              <w:rPr>
                <w:color w:val="C00000" w:themeColor="accent4"/>
              </w:rPr>
            </w:pPr>
            <w:r w:rsidRPr="00552CEE">
              <w:rPr>
                <w:color w:val="A6A6A6" w:themeColor="background1" w:themeShade="A6"/>
              </w:rPr>
              <w:t>1.7</w:t>
            </w:r>
          </w:p>
        </w:tc>
        <w:tc>
          <w:tcPr>
            <w:tcW w:w="1477" w:type="dxa"/>
            <w:gridSpan w:val="2"/>
          </w:tcPr>
          <w:p w14:paraId="4EAA921D" w14:textId="1BB555DB" w:rsidR="00625C0B" w:rsidRPr="00552CEE" w:rsidRDefault="00625C0B" w:rsidP="008651BA">
            <w:pPr>
              <w:jc w:val="center"/>
            </w:pPr>
            <w:r w:rsidRPr="00552CEE">
              <w:rPr>
                <w:color w:val="A6A6A6" w:themeColor="background1" w:themeShade="A6"/>
              </w:rPr>
              <w:t>3.2</w:t>
            </w:r>
          </w:p>
        </w:tc>
        <w:tc>
          <w:tcPr>
            <w:tcW w:w="1361" w:type="dxa"/>
            <w:gridSpan w:val="2"/>
          </w:tcPr>
          <w:p w14:paraId="5F6A106A" w14:textId="77777777" w:rsidR="00625C0B" w:rsidRPr="00552CEE" w:rsidRDefault="00625C0B" w:rsidP="008651BA">
            <w:pPr>
              <w:jc w:val="center"/>
              <w:rPr>
                <w:color w:val="A6A6A6" w:themeColor="background1" w:themeShade="A6"/>
              </w:rPr>
            </w:pPr>
          </w:p>
        </w:tc>
      </w:tr>
      <w:tr w:rsidR="00625C0B" w:rsidRPr="00552CEE" w14:paraId="36083FC3" w14:textId="77777777" w:rsidTr="004E2AB3">
        <w:tc>
          <w:tcPr>
            <w:tcW w:w="3281" w:type="dxa"/>
            <w:gridSpan w:val="2"/>
            <w:vAlign w:val="bottom"/>
          </w:tcPr>
          <w:p w14:paraId="23894361" w14:textId="77777777" w:rsidR="00625C0B" w:rsidRDefault="00625C0B" w:rsidP="00625C0B">
            <w:r>
              <w:t>Cumulative lifetime income</w:t>
            </w:r>
          </w:p>
          <w:p w14:paraId="57690238" w14:textId="63EA974F" w:rsidR="00625C0B" w:rsidRPr="00552CEE" w:rsidRDefault="00625C0B" w:rsidP="00625C0B">
            <w:r>
              <w:t>(30 years, undiscounted)</w:t>
            </w:r>
          </w:p>
        </w:tc>
        <w:tc>
          <w:tcPr>
            <w:tcW w:w="1466" w:type="dxa"/>
            <w:gridSpan w:val="2"/>
          </w:tcPr>
          <w:p w14:paraId="7286F8EE" w14:textId="77777777" w:rsidR="00625C0B" w:rsidRPr="00552CEE" w:rsidRDefault="00625C0B" w:rsidP="004E2AB3">
            <w:pPr>
              <w:jc w:val="center"/>
            </w:pPr>
          </w:p>
        </w:tc>
        <w:tc>
          <w:tcPr>
            <w:tcW w:w="1466" w:type="dxa"/>
            <w:gridSpan w:val="2"/>
          </w:tcPr>
          <w:p w14:paraId="3F08B374" w14:textId="77777777" w:rsidR="00625C0B" w:rsidRPr="00552CEE" w:rsidRDefault="00625C0B" w:rsidP="004E2AB3">
            <w:pPr>
              <w:jc w:val="center"/>
              <w:rPr>
                <w:color w:val="C00000" w:themeColor="accent4"/>
              </w:rPr>
            </w:pPr>
          </w:p>
        </w:tc>
        <w:tc>
          <w:tcPr>
            <w:tcW w:w="1467" w:type="dxa"/>
            <w:gridSpan w:val="2"/>
          </w:tcPr>
          <w:p w14:paraId="4BD93FAF" w14:textId="77777777" w:rsidR="00625C0B" w:rsidRPr="00552CEE" w:rsidRDefault="00625C0B" w:rsidP="004E2AB3">
            <w:pPr>
              <w:jc w:val="center"/>
            </w:pPr>
          </w:p>
        </w:tc>
        <w:tc>
          <w:tcPr>
            <w:tcW w:w="1346" w:type="dxa"/>
          </w:tcPr>
          <w:p w14:paraId="686CEE8B" w14:textId="5682D26B" w:rsidR="00625C0B" w:rsidRPr="00552CEE" w:rsidRDefault="00625C0B" w:rsidP="004E2AB3">
            <w:pPr>
              <w:jc w:val="center"/>
            </w:pPr>
            <w:r>
              <w:t>75.0</w:t>
            </w:r>
          </w:p>
        </w:tc>
      </w:tr>
    </w:tbl>
    <w:p w14:paraId="1F8B08E2" w14:textId="77777777" w:rsidR="00972191" w:rsidRPr="00552CEE" w:rsidRDefault="00972191" w:rsidP="00972191"/>
    <w:p w14:paraId="59E2EBB9" w14:textId="77777777" w:rsidR="00D95DBB" w:rsidRPr="00552CEE" w:rsidRDefault="00D95DBB" w:rsidP="003431E7">
      <w:pPr>
        <w:sectPr w:rsidR="00D95DBB" w:rsidRPr="00552CEE">
          <w:pgSz w:w="11906" w:h="16838"/>
          <w:pgMar w:top="1440" w:right="1440" w:bottom="1440" w:left="1440" w:header="708" w:footer="708" w:gutter="0"/>
          <w:cols w:space="708"/>
          <w:docGrid w:linePitch="360"/>
        </w:sectPr>
      </w:pPr>
    </w:p>
    <w:p w14:paraId="717A0B98" w14:textId="523CA75E" w:rsidR="00D95DBB" w:rsidRPr="00552CEE" w:rsidRDefault="00D95DBB" w:rsidP="00D95DBB">
      <w:pPr>
        <w:pStyle w:val="Heading1"/>
      </w:pPr>
      <w:r w:rsidRPr="00552CEE">
        <w:lastRenderedPageBreak/>
        <w:t>O</w:t>
      </w:r>
      <w:r w:rsidR="00F106F9" w:rsidRPr="00552CEE">
        <w:t>nshore</w:t>
      </w:r>
    </w:p>
    <w:p w14:paraId="49BC0CEF" w14:textId="5AB2F12F" w:rsidR="00793AE2" w:rsidRPr="00552CEE" w:rsidRDefault="00793AE2" w:rsidP="00793AE2">
      <w:r w:rsidRPr="00552CEE">
        <w:t xml:space="preserve">The example </w:t>
      </w:r>
      <w:r w:rsidR="00F503C4">
        <w:t xml:space="preserve">onshore wind farm </w:t>
      </w:r>
      <w:r w:rsidRPr="00552CEE">
        <w:t xml:space="preserve">chosen is a 51 MW wind farm with an AR6 contract, where the SO organisation takes a stake in a joint venture. </w:t>
      </w:r>
      <w:r w:rsidR="00F503C4">
        <w:t xml:space="preserve">The same two </w:t>
      </w:r>
      <w:r w:rsidRPr="00552CEE">
        <w:t xml:space="preserve">financing structures </w:t>
      </w:r>
      <w:r w:rsidR="00F503C4">
        <w:t xml:space="preserve">used for Offshore are repeated here: </w:t>
      </w:r>
      <w:r w:rsidRPr="00552CEE">
        <w:t>a balance sheet funded project (with no project-level debt in the SPV) and a project-financed structure with commercial debt at the project level.</w:t>
      </w:r>
    </w:p>
    <w:p w14:paraId="4E491B91" w14:textId="1E6E2001" w:rsidR="00793AE2" w:rsidRPr="00552CEE" w:rsidRDefault="00793AE2" w:rsidP="00793AE2">
      <w:r w:rsidRPr="00552CEE">
        <w:t xml:space="preserve">The key input parameters for the onshore wind farm are set out in </w:t>
      </w:r>
      <w:r w:rsidRPr="00552CEE">
        <w:fldChar w:fldCharType="begin"/>
      </w:r>
      <w:r w:rsidRPr="00552CEE">
        <w:instrText xml:space="preserve"> REF _Ref225973816 \h </w:instrText>
      </w:r>
      <w:r w:rsidRPr="00552CEE">
        <w:fldChar w:fldCharType="separate"/>
      </w:r>
      <w:r w:rsidR="00BA359F" w:rsidRPr="00552CEE">
        <w:t xml:space="preserve">Table </w:t>
      </w:r>
      <w:r w:rsidR="00BA359F">
        <w:rPr>
          <w:noProof/>
        </w:rPr>
        <w:t>16</w:t>
      </w:r>
      <w:r w:rsidRPr="00552CEE">
        <w:fldChar w:fldCharType="end"/>
      </w:r>
      <w:r w:rsidRPr="00552CEE">
        <w:t>.</w:t>
      </w:r>
    </w:p>
    <w:p w14:paraId="65A01E6F" w14:textId="622E7414" w:rsidR="00DE38B5" w:rsidRPr="00552CEE" w:rsidRDefault="00DE38B5" w:rsidP="00DE38B5">
      <w:pPr>
        <w:pStyle w:val="Caption"/>
        <w:keepNext/>
        <w:jc w:val="center"/>
      </w:pPr>
      <w:bookmarkStart w:id="5" w:name="_Ref225973816"/>
      <w:r w:rsidRPr="00552CEE">
        <w:t xml:space="preserve">Table </w:t>
      </w:r>
      <w:fldSimple w:instr=" SEQ Table \* ARABIC ">
        <w:r w:rsidR="00BA359F">
          <w:rPr>
            <w:noProof/>
          </w:rPr>
          <w:t>16</w:t>
        </w:r>
      </w:fldSimple>
      <w:bookmarkEnd w:id="5"/>
      <w:r w:rsidRPr="00552CEE">
        <w:t xml:space="preserve">: Input values for the </w:t>
      </w:r>
      <w:r w:rsidR="00793AE2" w:rsidRPr="00552CEE">
        <w:t xml:space="preserve">onshore wind </w:t>
      </w:r>
      <w:r w:rsidRPr="00552CEE">
        <w:t>example</w:t>
      </w:r>
    </w:p>
    <w:tbl>
      <w:tblPr>
        <w:tblStyle w:val="PlainTable2"/>
        <w:tblW w:w="9781" w:type="dxa"/>
        <w:tblLook w:val="04A0" w:firstRow="1" w:lastRow="0" w:firstColumn="1" w:lastColumn="0" w:noHBand="0" w:noVBand="1"/>
      </w:tblPr>
      <w:tblGrid>
        <w:gridCol w:w="2127"/>
        <w:gridCol w:w="3118"/>
        <w:gridCol w:w="4536"/>
      </w:tblGrid>
      <w:tr w:rsidR="00DE38B5" w:rsidRPr="00552CEE" w14:paraId="679BA70C" w14:textId="77777777" w:rsidTr="003446B0">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127" w:type="dxa"/>
            <w:shd w:val="clear" w:color="auto" w:fill="AEAAAA" w:themeFill="background2" w:themeFillShade="BF"/>
            <w:hideMark/>
          </w:tcPr>
          <w:p w14:paraId="4ABC684F" w14:textId="77777777" w:rsidR="00DE38B5" w:rsidRPr="00552CEE" w:rsidRDefault="00DE38B5" w:rsidP="003446B0">
            <w:pPr>
              <w:rPr>
                <w:sz w:val="18"/>
                <w:szCs w:val="18"/>
              </w:rPr>
            </w:pPr>
            <w:r w:rsidRPr="00552CEE">
              <w:rPr>
                <w:sz w:val="18"/>
                <w:szCs w:val="18"/>
              </w:rPr>
              <w:t>Parameter</w:t>
            </w:r>
          </w:p>
        </w:tc>
        <w:tc>
          <w:tcPr>
            <w:tcW w:w="3118" w:type="dxa"/>
            <w:shd w:val="clear" w:color="auto" w:fill="AEAAAA" w:themeFill="background2" w:themeFillShade="BF"/>
          </w:tcPr>
          <w:p w14:paraId="38FA6C53" w14:textId="77777777" w:rsidR="00DE38B5" w:rsidRPr="00552CEE" w:rsidRDefault="00DE38B5" w:rsidP="003446B0">
            <w:pPr>
              <w:ind w:left="284" w:hanging="284"/>
              <w:cnfStyle w:val="100000000000" w:firstRow="1" w:lastRow="0" w:firstColumn="0" w:lastColumn="0" w:oddVBand="0" w:evenVBand="0" w:oddHBand="0" w:evenHBand="0" w:firstRowFirstColumn="0" w:firstRowLastColumn="0" w:lastRowFirstColumn="0" w:lastRowLastColumn="0"/>
              <w:rPr>
                <w:sz w:val="18"/>
                <w:szCs w:val="18"/>
              </w:rPr>
            </w:pPr>
            <w:r w:rsidRPr="00552CEE">
              <w:rPr>
                <w:sz w:val="18"/>
                <w:szCs w:val="18"/>
              </w:rPr>
              <w:t xml:space="preserve">Basecase </w:t>
            </w:r>
          </w:p>
        </w:tc>
        <w:tc>
          <w:tcPr>
            <w:tcW w:w="4536" w:type="dxa"/>
            <w:shd w:val="clear" w:color="auto" w:fill="AEAAAA" w:themeFill="background2" w:themeFillShade="BF"/>
          </w:tcPr>
          <w:p w14:paraId="7A1A8CE2" w14:textId="77777777" w:rsidR="00DE38B5" w:rsidRPr="00552CEE" w:rsidRDefault="00DE38B5" w:rsidP="003446B0">
            <w:pPr>
              <w:ind w:left="284" w:hanging="284"/>
              <w:cnfStyle w:val="100000000000" w:firstRow="1" w:lastRow="0" w:firstColumn="0" w:lastColumn="0" w:oddVBand="0" w:evenVBand="0" w:oddHBand="0" w:evenHBand="0" w:firstRowFirstColumn="0" w:firstRowLastColumn="0" w:lastRowFirstColumn="0" w:lastRowLastColumn="0"/>
              <w:rPr>
                <w:sz w:val="18"/>
                <w:szCs w:val="18"/>
              </w:rPr>
            </w:pPr>
            <w:r w:rsidRPr="00552CEE">
              <w:rPr>
                <w:sz w:val="18"/>
                <w:szCs w:val="18"/>
              </w:rPr>
              <w:t>Comment</w:t>
            </w:r>
          </w:p>
        </w:tc>
      </w:tr>
      <w:tr w:rsidR="00DE38B5" w:rsidRPr="00552CEE" w14:paraId="7E4D3506" w14:textId="77777777" w:rsidTr="003446B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127" w:type="dxa"/>
          </w:tcPr>
          <w:p w14:paraId="59645565" w14:textId="77777777" w:rsidR="00DE38B5" w:rsidRPr="00552CEE" w:rsidRDefault="00DE38B5" w:rsidP="003446B0">
            <w:pPr>
              <w:rPr>
                <w:sz w:val="18"/>
                <w:szCs w:val="18"/>
              </w:rPr>
            </w:pPr>
            <w:r w:rsidRPr="00552CEE">
              <w:rPr>
                <w:sz w:val="18"/>
                <w:szCs w:val="18"/>
              </w:rPr>
              <w:t>Capacity</w:t>
            </w:r>
          </w:p>
        </w:tc>
        <w:tc>
          <w:tcPr>
            <w:tcW w:w="3118" w:type="dxa"/>
          </w:tcPr>
          <w:p w14:paraId="792CDBF4" w14:textId="5D1C3E63" w:rsidR="00DE38B5" w:rsidRPr="00552CEE" w:rsidRDefault="00DE38B5" w:rsidP="003446B0">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51 MW</w:t>
            </w:r>
          </w:p>
        </w:tc>
        <w:tc>
          <w:tcPr>
            <w:tcW w:w="4536" w:type="dxa"/>
          </w:tcPr>
          <w:p w14:paraId="48FF1ECB" w14:textId="2BB540B9" w:rsidR="00DE38B5" w:rsidRPr="00552CEE" w:rsidRDefault="00DE38B5" w:rsidP="003446B0">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Typical medium sized onshore wind farm</w:t>
            </w:r>
          </w:p>
        </w:tc>
      </w:tr>
      <w:tr w:rsidR="00DE38B5" w:rsidRPr="00552CEE" w14:paraId="3D5ECEF9" w14:textId="77777777" w:rsidTr="003446B0">
        <w:trPr>
          <w:trHeight w:val="456"/>
        </w:trPr>
        <w:tc>
          <w:tcPr>
            <w:cnfStyle w:val="001000000000" w:firstRow="0" w:lastRow="0" w:firstColumn="1" w:lastColumn="0" w:oddVBand="0" w:evenVBand="0" w:oddHBand="0" w:evenHBand="0" w:firstRowFirstColumn="0" w:firstRowLastColumn="0" w:lastRowFirstColumn="0" w:lastRowLastColumn="0"/>
            <w:tcW w:w="2127" w:type="dxa"/>
            <w:hideMark/>
          </w:tcPr>
          <w:p w14:paraId="72F81ADE" w14:textId="77777777" w:rsidR="00DE38B5" w:rsidRPr="00552CEE" w:rsidRDefault="00DE38B5" w:rsidP="003446B0">
            <w:pPr>
              <w:rPr>
                <w:b w:val="0"/>
                <w:bCs w:val="0"/>
                <w:sz w:val="18"/>
                <w:szCs w:val="18"/>
              </w:rPr>
            </w:pPr>
            <w:r w:rsidRPr="00552CEE">
              <w:rPr>
                <w:sz w:val="18"/>
                <w:szCs w:val="18"/>
              </w:rPr>
              <w:t>Expected load factor</w:t>
            </w:r>
          </w:p>
        </w:tc>
        <w:tc>
          <w:tcPr>
            <w:tcW w:w="3118" w:type="dxa"/>
          </w:tcPr>
          <w:p w14:paraId="332BA1DF" w14:textId="37D648F3" w:rsidR="00DE38B5" w:rsidRPr="00552CEE" w:rsidRDefault="005644C4" w:rsidP="003446B0">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40</w:t>
            </w:r>
            <w:r w:rsidR="00DE38B5" w:rsidRPr="00552CEE">
              <w:rPr>
                <w:sz w:val="18"/>
                <w:szCs w:val="18"/>
              </w:rPr>
              <w:t>% uncurtailed</w:t>
            </w:r>
          </w:p>
          <w:p w14:paraId="2BEDBF28" w14:textId="65D0DB03" w:rsidR="00DE38B5" w:rsidRPr="00552CEE" w:rsidRDefault="00AE5C1B" w:rsidP="003446B0">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95</w:t>
            </w:r>
            <w:r w:rsidR="00DE38B5" w:rsidRPr="00552CEE">
              <w:rPr>
                <w:sz w:val="18"/>
                <w:szCs w:val="18"/>
              </w:rPr>
              <w:t>% technical availability</w:t>
            </w:r>
          </w:p>
        </w:tc>
        <w:tc>
          <w:tcPr>
            <w:tcW w:w="4536" w:type="dxa"/>
          </w:tcPr>
          <w:p w14:paraId="5ACB1E86" w14:textId="79304128" w:rsidR="00DE38B5" w:rsidRPr="00552CEE" w:rsidRDefault="008B49DB" w:rsidP="003446B0">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Aligns with cu</w:t>
            </w:r>
            <w:r w:rsidR="00834843" w:rsidRPr="00552CEE">
              <w:rPr>
                <w:sz w:val="18"/>
                <w:szCs w:val="18"/>
              </w:rPr>
              <w:t>r</w:t>
            </w:r>
            <w:r w:rsidRPr="00552CEE">
              <w:rPr>
                <w:sz w:val="18"/>
                <w:szCs w:val="18"/>
              </w:rPr>
              <w:t>rent industry expectations</w:t>
            </w:r>
          </w:p>
        </w:tc>
      </w:tr>
      <w:tr w:rsidR="00DE38B5" w:rsidRPr="00552CEE" w14:paraId="0A5572F4" w14:textId="77777777" w:rsidTr="003446B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127" w:type="dxa"/>
            <w:hideMark/>
          </w:tcPr>
          <w:p w14:paraId="79370D8E" w14:textId="77777777" w:rsidR="00DE38B5" w:rsidRPr="00552CEE" w:rsidRDefault="00DE38B5" w:rsidP="003446B0">
            <w:pPr>
              <w:rPr>
                <w:b w:val="0"/>
                <w:bCs w:val="0"/>
                <w:sz w:val="18"/>
                <w:szCs w:val="18"/>
              </w:rPr>
            </w:pPr>
            <w:r w:rsidRPr="00552CEE">
              <w:rPr>
                <w:sz w:val="18"/>
                <w:szCs w:val="18"/>
              </w:rPr>
              <w:t>CAPEX costs and spending profile</w:t>
            </w:r>
          </w:p>
        </w:tc>
        <w:tc>
          <w:tcPr>
            <w:tcW w:w="3118" w:type="dxa"/>
          </w:tcPr>
          <w:p w14:paraId="109F1B45" w14:textId="70733188" w:rsidR="00DE38B5" w:rsidRPr="00552CEE" w:rsidRDefault="00DE38B5" w:rsidP="003446B0">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w:t>
            </w:r>
            <w:r w:rsidR="00AE5C1B" w:rsidRPr="00552CEE">
              <w:rPr>
                <w:sz w:val="18"/>
                <w:szCs w:val="18"/>
              </w:rPr>
              <w:t>1450</w:t>
            </w:r>
            <w:r w:rsidRPr="00552CEE">
              <w:rPr>
                <w:sz w:val="18"/>
                <w:szCs w:val="18"/>
              </w:rPr>
              <w:t xml:space="preserve"> / kW</w:t>
            </w:r>
          </w:p>
        </w:tc>
        <w:tc>
          <w:tcPr>
            <w:tcW w:w="4536" w:type="dxa"/>
          </w:tcPr>
          <w:p w14:paraId="42E5F0D8" w14:textId="0D5B2EC8" w:rsidR="00DE38B5" w:rsidRPr="00552CEE" w:rsidRDefault="00DE38B5" w:rsidP="003446B0">
            <w:pPr>
              <w:cnfStyle w:val="000000100000" w:firstRow="0" w:lastRow="0" w:firstColumn="0" w:lastColumn="0" w:oddVBand="0" w:evenVBand="0" w:oddHBand="1" w:evenHBand="0" w:firstRowFirstColumn="0" w:firstRowLastColumn="0" w:lastRowFirstColumn="0" w:lastRowLastColumn="0"/>
              <w:rPr>
                <w:sz w:val="18"/>
                <w:szCs w:val="18"/>
              </w:rPr>
            </w:pPr>
          </w:p>
        </w:tc>
      </w:tr>
      <w:tr w:rsidR="00DE38B5" w:rsidRPr="00552CEE" w14:paraId="4472A6DB" w14:textId="77777777" w:rsidTr="003446B0">
        <w:trPr>
          <w:trHeight w:val="485"/>
        </w:trPr>
        <w:tc>
          <w:tcPr>
            <w:cnfStyle w:val="001000000000" w:firstRow="0" w:lastRow="0" w:firstColumn="1" w:lastColumn="0" w:oddVBand="0" w:evenVBand="0" w:oddHBand="0" w:evenHBand="0" w:firstRowFirstColumn="0" w:firstRowLastColumn="0" w:lastRowFirstColumn="0" w:lastRowLastColumn="0"/>
            <w:tcW w:w="2127" w:type="dxa"/>
            <w:hideMark/>
          </w:tcPr>
          <w:p w14:paraId="0B279E03" w14:textId="77777777" w:rsidR="00DE38B5" w:rsidRPr="00552CEE" w:rsidRDefault="00DE38B5" w:rsidP="003446B0">
            <w:pPr>
              <w:rPr>
                <w:b w:val="0"/>
                <w:bCs w:val="0"/>
                <w:sz w:val="18"/>
                <w:szCs w:val="18"/>
              </w:rPr>
            </w:pPr>
            <w:r w:rsidRPr="00552CEE">
              <w:rPr>
                <w:sz w:val="18"/>
                <w:szCs w:val="18"/>
              </w:rPr>
              <w:t>Grid connection costs</w:t>
            </w:r>
          </w:p>
        </w:tc>
        <w:tc>
          <w:tcPr>
            <w:tcW w:w="3118" w:type="dxa"/>
          </w:tcPr>
          <w:p w14:paraId="09E58261" w14:textId="483C9D6D" w:rsidR="00DE38B5" w:rsidRPr="00552CEE" w:rsidRDefault="00DE38B5" w:rsidP="003446B0">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w:t>
            </w:r>
            <w:r w:rsidR="008B49DB" w:rsidRPr="00552CEE">
              <w:rPr>
                <w:sz w:val="18"/>
                <w:szCs w:val="18"/>
              </w:rPr>
              <w:t>100</w:t>
            </w:r>
            <w:r w:rsidRPr="00552CEE">
              <w:rPr>
                <w:sz w:val="18"/>
                <w:szCs w:val="18"/>
              </w:rPr>
              <w:t xml:space="preserve"> / kW</w:t>
            </w:r>
          </w:p>
          <w:p w14:paraId="44C779F0" w14:textId="77777777" w:rsidR="00DE38B5" w:rsidRPr="00552CEE" w:rsidRDefault="00DE38B5" w:rsidP="003446B0">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4536" w:type="dxa"/>
          </w:tcPr>
          <w:p w14:paraId="339DB698" w14:textId="7E1E6174" w:rsidR="00DE38B5" w:rsidRPr="00552CEE" w:rsidRDefault="00DE38B5" w:rsidP="003446B0">
            <w:pPr>
              <w:cnfStyle w:val="000000000000" w:firstRow="0" w:lastRow="0" w:firstColumn="0" w:lastColumn="0" w:oddVBand="0" w:evenVBand="0" w:oddHBand="0" w:evenHBand="0" w:firstRowFirstColumn="0" w:firstRowLastColumn="0" w:lastRowFirstColumn="0" w:lastRowLastColumn="0"/>
              <w:rPr>
                <w:sz w:val="18"/>
                <w:szCs w:val="18"/>
              </w:rPr>
            </w:pPr>
          </w:p>
        </w:tc>
      </w:tr>
      <w:tr w:rsidR="00DE38B5" w:rsidRPr="00552CEE" w14:paraId="2EA122C4" w14:textId="77777777" w:rsidTr="003446B0">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127" w:type="dxa"/>
            <w:hideMark/>
          </w:tcPr>
          <w:p w14:paraId="7D77FDE4" w14:textId="77777777" w:rsidR="00DE38B5" w:rsidRPr="00552CEE" w:rsidRDefault="00DE38B5" w:rsidP="003446B0">
            <w:pPr>
              <w:rPr>
                <w:b w:val="0"/>
                <w:bCs w:val="0"/>
                <w:sz w:val="18"/>
                <w:szCs w:val="18"/>
              </w:rPr>
            </w:pPr>
            <w:r w:rsidRPr="00552CEE">
              <w:rPr>
                <w:sz w:val="18"/>
                <w:szCs w:val="18"/>
              </w:rPr>
              <w:t>Annual fixed O&amp;M</w:t>
            </w:r>
          </w:p>
        </w:tc>
        <w:tc>
          <w:tcPr>
            <w:tcW w:w="3118" w:type="dxa"/>
          </w:tcPr>
          <w:p w14:paraId="7F5407F7" w14:textId="5FFC6724" w:rsidR="00DE38B5" w:rsidRPr="00552CEE" w:rsidRDefault="00DE38B5" w:rsidP="003446B0">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w:t>
            </w:r>
            <w:r w:rsidR="008B49DB" w:rsidRPr="00552CEE">
              <w:rPr>
                <w:lang w:val="en-GB"/>
              </w:rPr>
              <w:t>19.10</w:t>
            </w:r>
            <w:r w:rsidRPr="00552CEE">
              <w:rPr>
                <w:lang w:val="en-GB"/>
              </w:rPr>
              <w:t xml:space="preserve"> / kW</w:t>
            </w:r>
          </w:p>
          <w:p w14:paraId="55C27D8C" w14:textId="77777777" w:rsidR="00DE38B5" w:rsidRPr="00552CEE" w:rsidRDefault="00DE38B5" w:rsidP="003446B0">
            <w:pPr>
              <w:pStyle w:val="ListinTable"/>
              <w:ind w:left="0" w:firstLine="0"/>
              <w:cnfStyle w:val="000000100000" w:firstRow="0" w:lastRow="0" w:firstColumn="0" w:lastColumn="0" w:oddVBand="0" w:evenVBand="0" w:oddHBand="1" w:evenHBand="0" w:firstRowFirstColumn="0" w:firstRowLastColumn="0" w:lastRowFirstColumn="0" w:lastRowLastColumn="0"/>
              <w:rPr>
                <w:b/>
                <w:bCs/>
                <w:lang w:val="en-GB"/>
              </w:rPr>
            </w:pPr>
          </w:p>
        </w:tc>
        <w:tc>
          <w:tcPr>
            <w:tcW w:w="4536" w:type="dxa"/>
          </w:tcPr>
          <w:p w14:paraId="21575694" w14:textId="6E8DA52F" w:rsidR="00DE38B5" w:rsidRPr="00552CEE" w:rsidRDefault="00DE38B5" w:rsidP="003446B0">
            <w:pPr>
              <w:cnfStyle w:val="000000100000" w:firstRow="0" w:lastRow="0" w:firstColumn="0" w:lastColumn="0" w:oddVBand="0" w:evenVBand="0" w:oddHBand="1" w:evenHBand="0" w:firstRowFirstColumn="0" w:firstRowLastColumn="0" w:lastRowFirstColumn="0" w:lastRowLastColumn="0"/>
              <w:rPr>
                <w:sz w:val="18"/>
                <w:szCs w:val="18"/>
              </w:rPr>
            </w:pPr>
          </w:p>
        </w:tc>
      </w:tr>
      <w:tr w:rsidR="00DE38B5" w:rsidRPr="00552CEE" w14:paraId="2061B202" w14:textId="77777777" w:rsidTr="003446B0">
        <w:trPr>
          <w:trHeight w:val="234"/>
        </w:trPr>
        <w:tc>
          <w:tcPr>
            <w:cnfStyle w:val="001000000000" w:firstRow="0" w:lastRow="0" w:firstColumn="1" w:lastColumn="0" w:oddVBand="0" w:evenVBand="0" w:oddHBand="0" w:evenHBand="0" w:firstRowFirstColumn="0" w:firstRowLastColumn="0" w:lastRowFirstColumn="0" w:lastRowLastColumn="0"/>
            <w:tcW w:w="2127" w:type="dxa"/>
            <w:hideMark/>
          </w:tcPr>
          <w:p w14:paraId="76BF791D" w14:textId="77777777" w:rsidR="00DE38B5" w:rsidRPr="00552CEE" w:rsidRDefault="00DE38B5" w:rsidP="003446B0">
            <w:pPr>
              <w:rPr>
                <w:b w:val="0"/>
                <w:bCs w:val="0"/>
                <w:sz w:val="18"/>
                <w:szCs w:val="18"/>
              </w:rPr>
            </w:pPr>
            <w:r w:rsidRPr="00552CEE">
              <w:rPr>
                <w:sz w:val="18"/>
                <w:szCs w:val="18"/>
              </w:rPr>
              <w:t>Variable O&amp;M</w:t>
            </w:r>
          </w:p>
        </w:tc>
        <w:tc>
          <w:tcPr>
            <w:tcW w:w="3118" w:type="dxa"/>
          </w:tcPr>
          <w:p w14:paraId="2A964B6B" w14:textId="23BE03EB" w:rsidR="00DE38B5" w:rsidRPr="00552CEE" w:rsidRDefault="00DE38B5" w:rsidP="003446B0">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w:t>
            </w:r>
            <w:r w:rsidR="00C3644A" w:rsidRPr="00552CEE">
              <w:rPr>
                <w:lang w:val="en-GB"/>
              </w:rPr>
              <w:t>7.26</w:t>
            </w:r>
            <w:r w:rsidRPr="00552CEE">
              <w:rPr>
                <w:lang w:val="en-GB"/>
              </w:rPr>
              <w:t xml:space="preserve"> / MWh</w:t>
            </w:r>
          </w:p>
          <w:p w14:paraId="62D80157" w14:textId="77777777" w:rsidR="00DE38B5" w:rsidRPr="00552CEE" w:rsidRDefault="00DE38B5" w:rsidP="003446B0">
            <w:pPr>
              <w:pStyle w:val="ListinTable"/>
              <w:ind w:left="0" w:firstLine="0"/>
              <w:cnfStyle w:val="000000000000" w:firstRow="0" w:lastRow="0" w:firstColumn="0" w:lastColumn="0" w:oddVBand="0" w:evenVBand="0" w:oddHBand="0" w:evenHBand="0" w:firstRowFirstColumn="0" w:firstRowLastColumn="0" w:lastRowFirstColumn="0" w:lastRowLastColumn="0"/>
              <w:rPr>
                <w:b/>
                <w:bCs/>
                <w:lang w:val="en-GB"/>
              </w:rPr>
            </w:pPr>
          </w:p>
        </w:tc>
        <w:tc>
          <w:tcPr>
            <w:tcW w:w="4536" w:type="dxa"/>
          </w:tcPr>
          <w:p w14:paraId="13B84CA9" w14:textId="4B06FAA1" w:rsidR="00DE38B5" w:rsidRPr="00552CEE" w:rsidRDefault="00DE38B5" w:rsidP="003446B0">
            <w:pPr>
              <w:cnfStyle w:val="000000000000" w:firstRow="0" w:lastRow="0" w:firstColumn="0" w:lastColumn="0" w:oddVBand="0" w:evenVBand="0" w:oddHBand="0" w:evenHBand="0" w:firstRowFirstColumn="0" w:firstRowLastColumn="0" w:lastRowFirstColumn="0" w:lastRowLastColumn="0"/>
              <w:rPr>
                <w:b/>
                <w:bCs/>
                <w:sz w:val="18"/>
                <w:szCs w:val="18"/>
              </w:rPr>
            </w:pPr>
          </w:p>
        </w:tc>
      </w:tr>
      <w:tr w:rsidR="00DE38B5" w:rsidRPr="00552CEE" w14:paraId="7E9E4C8D" w14:textId="77777777" w:rsidTr="003446B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tcPr>
          <w:p w14:paraId="5EF6BC8F" w14:textId="77777777" w:rsidR="00DE38B5" w:rsidRPr="00552CEE" w:rsidRDefault="00DE38B5" w:rsidP="003446B0">
            <w:pPr>
              <w:rPr>
                <w:b w:val="0"/>
                <w:bCs w:val="0"/>
                <w:sz w:val="18"/>
                <w:szCs w:val="18"/>
              </w:rPr>
            </w:pPr>
            <w:r w:rsidRPr="00552CEE">
              <w:rPr>
                <w:sz w:val="18"/>
                <w:szCs w:val="18"/>
              </w:rPr>
              <w:t>TNUoS</w:t>
            </w:r>
          </w:p>
        </w:tc>
        <w:tc>
          <w:tcPr>
            <w:tcW w:w="3118" w:type="dxa"/>
          </w:tcPr>
          <w:p w14:paraId="3AAC9EE1" w14:textId="2CF8E8D4" w:rsidR="00DE38B5" w:rsidRPr="00552CEE" w:rsidRDefault="00DE38B5" w:rsidP="003446B0">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w:t>
            </w:r>
            <w:r w:rsidR="002A47E8" w:rsidRPr="00552CEE">
              <w:rPr>
                <w:lang w:val="en-GB"/>
              </w:rPr>
              <w:t>8.40</w:t>
            </w:r>
            <w:r w:rsidRPr="00552CEE">
              <w:rPr>
                <w:lang w:val="en-GB"/>
              </w:rPr>
              <w:t xml:space="preserve"> / kW in 2028 rising to        £</w:t>
            </w:r>
            <w:r w:rsidR="002A47E8" w:rsidRPr="00552CEE">
              <w:rPr>
                <w:lang w:val="en-GB"/>
              </w:rPr>
              <w:t>21</w:t>
            </w:r>
            <w:r w:rsidRPr="00552CEE">
              <w:rPr>
                <w:lang w:val="en-GB"/>
              </w:rPr>
              <w:t>.</w:t>
            </w:r>
            <w:r w:rsidR="004B1674" w:rsidRPr="00552CEE">
              <w:rPr>
                <w:lang w:val="en-GB"/>
              </w:rPr>
              <w:t>43</w:t>
            </w:r>
            <w:r w:rsidRPr="00552CEE">
              <w:rPr>
                <w:lang w:val="en-GB"/>
              </w:rPr>
              <w:t xml:space="preserve"> /kW in 2033 and remaining constant for the rest of the operating timescale</w:t>
            </w:r>
          </w:p>
          <w:p w14:paraId="0B57EAEB" w14:textId="77777777" w:rsidR="00DE38B5" w:rsidRPr="00552CEE" w:rsidRDefault="00DE38B5" w:rsidP="003446B0">
            <w:pPr>
              <w:pStyle w:val="ListinTable"/>
              <w:ind w:left="0" w:firstLine="0"/>
              <w:cnfStyle w:val="000000100000" w:firstRow="0" w:lastRow="0" w:firstColumn="0" w:lastColumn="0" w:oddVBand="0" w:evenVBand="0" w:oddHBand="1" w:evenHBand="0" w:firstRowFirstColumn="0" w:firstRowLastColumn="0" w:lastRowFirstColumn="0" w:lastRowLastColumn="0"/>
              <w:rPr>
                <w:b/>
                <w:bCs/>
                <w:lang w:val="en-GB"/>
              </w:rPr>
            </w:pPr>
          </w:p>
        </w:tc>
        <w:tc>
          <w:tcPr>
            <w:tcW w:w="4536" w:type="dxa"/>
          </w:tcPr>
          <w:p w14:paraId="46DBF04B" w14:textId="77777777" w:rsidR="00DE38B5" w:rsidRPr="00552CEE" w:rsidRDefault="00DE38B5" w:rsidP="003446B0">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 xml:space="preserve">This is based on expected TNUoS charges for the Southeast Scotland Lothians region and is broadly reflective of the 2023 ‘Ten Year Forecast’ and 2025 ‘five-year forecast from NESO.  </w:t>
            </w:r>
          </w:p>
        </w:tc>
      </w:tr>
      <w:tr w:rsidR="00DE38B5" w:rsidRPr="00552CEE" w14:paraId="618150BE" w14:textId="77777777" w:rsidTr="003446B0">
        <w:trPr>
          <w:trHeight w:val="234"/>
        </w:trPr>
        <w:tc>
          <w:tcPr>
            <w:cnfStyle w:val="001000000000" w:firstRow="0" w:lastRow="0" w:firstColumn="1" w:lastColumn="0" w:oddVBand="0" w:evenVBand="0" w:oddHBand="0" w:evenHBand="0" w:firstRowFirstColumn="0" w:firstRowLastColumn="0" w:lastRowFirstColumn="0" w:lastRowLastColumn="0"/>
            <w:tcW w:w="2127" w:type="dxa"/>
          </w:tcPr>
          <w:p w14:paraId="19EBBF3A" w14:textId="77777777" w:rsidR="00DE38B5" w:rsidRPr="00552CEE" w:rsidRDefault="00DE38B5" w:rsidP="003446B0">
            <w:pPr>
              <w:rPr>
                <w:b w:val="0"/>
                <w:bCs w:val="0"/>
                <w:sz w:val="18"/>
                <w:szCs w:val="18"/>
              </w:rPr>
            </w:pPr>
            <w:r w:rsidRPr="00552CEE">
              <w:rPr>
                <w:sz w:val="18"/>
                <w:szCs w:val="18"/>
              </w:rPr>
              <w:t>CfD price (for years 1 – 20)</w:t>
            </w:r>
          </w:p>
        </w:tc>
        <w:tc>
          <w:tcPr>
            <w:tcW w:w="3118" w:type="dxa"/>
          </w:tcPr>
          <w:p w14:paraId="0413CD3F" w14:textId="50C26C20" w:rsidR="00DE38B5" w:rsidRPr="00552CEE" w:rsidRDefault="00DE38B5" w:rsidP="003446B0">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w:t>
            </w:r>
            <w:r w:rsidR="003308BA" w:rsidRPr="00552CEE">
              <w:rPr>
                <w:lang w:val="en-GB"/>
              </w:rPr>
              <w:t>73</w:t>
            </w:r>
            <w:r w:rsidRPr="00552CEE">
              <w:rPr>
                <w:lang w:val="en-GB"/>
              </w:rPr>
              <w:t>.</w:t>
            </w:r>
            <w:r w:rsidR="003308BA" w:rsidRPr="00552CEE">
              <w:rPr>
                <w:lang w:val="en-GB"/>
              </w:rPr>
              <w:t>17</w:t>
            </w:r>
            <w:r w:rsidRPr="00552CEE">
              <w:rPr>
                <w:lang w:val="en-GB"/>
              </w:rPr>
              <w:t xml:space="preserve"> / MWh (2025 prices) </w:t>
            </w:r>
          </w:p>
          <w:p w14:paraId="06B58DB5" w14:textId="77777777" w:rsidR="00DE38B5" w:rsidRPr="00552CEE" w:rsidRDefault="00DE38B5" w:rsidP="003446B0">
            <w:pPr>
              <w:pStyle w:val="ListinTable"/>
              <w:ind w:left="0" w:firstLine="0"/>
              <w:cnfStyle w:val="000000000000" w:firstRow="0" w:lastRow="0" w:firstColumn="0" w:lastColumn="0" w:oddVBand="0" w:evenVBand="0" w:oddHBand="0" w:evenHBand="0" w:firstRowFirstColumn="0" w:firstRowLastColumn="0" w:lastRowFirstColumn="0" w:lastRowLastColumn="0"/>
              <w:rPr>
                <w:b/>
                <w:bCs/>
                <w:lang w:val="en-GB"/>
              </w:rPr>
            </w:pPr>
          </w:p>
        </w:tc>
        <w:tc>
          <w:tcPr>
            <w:tcW w:w="4536" w:type="dxa"/>
          </w:tcPr>
          <w:p w14:paraId="7E0A057C" w14:textId="16D2939C" w:rsidR="00DE38B5" w:rsidRPr="00552CEE" w:rsidRDefault="00DE38B5" w:rsidP="003446B0">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Reflects A</w:t>
            </w:r>
            <w:r w:rsidR="003308BA" w:rsidRPr="00552CEE">
              <w:rPr>
                <w:sz w:val="18"/>
                <w:szCs w:val="18"/>
              </w:rPr>
              <w:t>6</w:t>
            </w:r>
            <w:r w:rsidRPr="00552CEE">
              <w:rPr>
                <w:sz w:val="18"/>
                <w:szCs w:val="18"/>
              </w:rPr>
              <w:t xml:space="preserve"> clearing prices </w:t>
            </w:r>
          </w:p>
        </w:tc>
      </w:tr>
      <w:tr w:rsidR="00DE38B5" w:rsidRPr="00552CEE" w14:paraId="3E199C1B" w14:textId="77777777" w:rsidTr="003446B0">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127" w:type="dxa"/>
          </w:tcPr>
          <w:p w14:paraId="39037C0A" w14:textId="77777777" w:rsidR="00DE38B5" w:rsidRPr="00552CEE" w:rsidRDefault="00DE38B5" w:rsidP="003446B0">
            <w:pPr>
              <w:rPr>
                <w:sz w:val="18"/>
                <w:szCs w:val="18"/>
              </w:rPr>
            </w:pPr>
            <w:r w:rsidRPr="00552CEE">
              <w:rPr>
                <w:sz w:val="18"/>
                <w:szCs w:val="18"/>
              </w:rPr>
              <w:t>Wind capture price for merchant tail period</w:t>
            </w:r>
          </w:p>
        </w:tc>
        <w:tc>
          <w:tcPr>
            <w:tcW w:w="3118" w:type="dxa"/>
          </w:tcPr>
          <w:p w14:paraId="55BA5E81" w14:textId="77777777" w:rsidR="00DE38B5" w:rsidRPr="00552CEE" w:rsidRDefault="00DE38B5" w:rsidP="003446B0">
            <w:pPr>
              <w:pStyle w:val="ListinTable"/>
              <w:ind w:left="0" w:firstLine="0"/>
              <w:cnfStyle w:val="000000100000" w:firstRow="0" w:lastRow="0" w:firstColumn="0" w:lastColumn="0" w:oddVBand="0" w:evenVBand="0" w:oddHBand="1" w:evenHBand="0" w:firstRowFirstColumn="0" w:firstRowLastColumn="0" w:lastRowFirstColumn="0" w:lastRowLastColumn="0"/>
              <w:rPr>
                <w:b/>
                <w:bCs/>
                <w:lang w:val="en-GB"/>
              </w:rPr>
            </w:pPr>
            <w:r w:rsidRPr="00552CEE">
              <w:rPr>
                <w:lang w:val="en-GB"/>
              </w:rPr>
              <w:t xml:space="preserve">£54.37 / MWh </w:t>
            </w:r>
          </w:p>
        </w:tc>
        <w:tc>
          <w:tcPr>
            <w:tcW w:w="4536" w:type="dxa"/>
          </w:tcPr>
          <w:p w14:paraId="69C850A7" w14:textId="77777777" w:rsidR="00DE38B5" w:rsidRPr="00552CEE" w:rsidRDefault="00DE38B5" w:rsidP="003446B0">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30% discount on projected wholesale prices</w:t>
            </w:r>
          </w:p>
          <w:p w14:paraId="44CB160C" w14:textId="77777777" w:rsidR="00DE38B5" w:rsidRPr="00552CEE" w:rsidRDefault="00DE38B5" w:rsidP="003446B0">
            <w:pPr>
              <w:cnfStyle w:val="000000100000" w:firstRow="0" w:lastRow="0" w:firstColumn="0" w:lastColumn="0" w:oddVBand="0" w:evenVBand="0" w:oddHBand="1" w:evenHBand="0" w:firstRowFirstColumn="0" w:firstRowLastColumn="0" w:lastRowFirstColumn="0" w:lastRowLastColumn="0"/>
              <w:rPr>
                <w:sz w:val="18"/>
                <w:szCs w:val="18"/>
              </w:rPr>
            </w:pPr>
          </w:p>
        </w:tc>
      </w:tr>
      <w:tr w:rsidR="00DE38B5" w:rsidRPr="00552CEE" w14:paraId="405BE55B" w14:textId="77777777" w:rsidTr="003446B0">
        <w:trPr>
          <w:trHeight w:val="234"/>
        </w:trPr>
        <w:tc>
          <w:tcPr>
            <w:cnfStyle w:val="001000000000" w:firstRow="0" w:lastRow="0" w:firstColumn="1" w:lastColumn="0" w:oddVBand="0" w:evenVBand="0" w:oddHBand="0" w:evenHBand="0" w:firstRowFirstColumn="0" w:firstRowLastColumn="0" w:lastRowFirstColumn="0" w:lastRowLastColumn="0"/>
            <w:tcW w:w="2127" w:type="dxa"/>
          </w:tcPr>
          <w:p w14:paraId="7786982A" w14:textId="77777777" w:rsidR="00DE38B5" w:rsidRPr="00552CEE" w:rsidRDefault="00DE38B5" w:rsidP="003446B0">
            <w:pPr>
              <w:rPr>
                <w:sz w:val="18"/>
                <w:szCs w:val="18"/>
              </w:rPr>
            </w:pPr>
            <w:r w:rsidRPr="00552CEE">
              <w:rPr>
                <w:sz w:val="18"/>
                <w:szCs w:val="18"/>
              </w:rPr>
              <w:t>Economic curtailment levels</w:t>
            </w:r>
          </w:p>
        </w:tc>
        <w:tc>
          <w:tcPr>
            <w:tcW w:w="3118" w:type="dxa"/>
          </w:tcPr>
          <w:p w14:paraId="018873BB" w14:textId="77777777" w:rsidR="00DE38B5" w:rsidRPr="00552CEE" w:rsidRDefault="00DE38B5" w:rsidP="003446B0">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 xml:space="preserve">3% of lifetime output </w:t>
            </w:r>
          </w:p>
        </w:tc>
        <w:tc>
          <w:tcPr>
            <w:tcW w:w="4536" w:type="dxa"/>
          </w:tcPr>
          <w:p w14:paraId="6ACC72C5" w14:textId="1584CB1D" w:rsidR="00DE38B5" w:rsidRPr="00552CEE" w:rsidRDefault="00DE38B5" w:rsidP="003446B0">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 xml:space="preserve">Reflects an optimistic (low) </w:t>
            </w:r>
            <w:r w:rsidR="00552CEE" w:rsidRPr="00552CEE">
              <w:rPr>
                <w:sz w:val="18"/>
                <w:szCs w:val="18"/>
              </w:rPr>
              <w:t>estimate</w:t>
            </w:r>
            <w:r w:rsidRPr="00552CEE">
              <w:rPr>
                <w:sz w:val="18"/>
                <w:szCs w:val="18"/>
              </w:rPr>
              <w:t xml:space="preserve"> of economic curtailment</w:t>
            </w:r>
          </w:p>
        </w:tc>
      </w:tr>
      <w:tr w:rsidR="00DE38B5" w:rsidRPr="00552CEE" w14:paraId="5E8EA077" w14:textId="77777777" w:rsidTr="003446B0">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127" w:type="dxa"/>
          </w:tcPr>
          <w:p w14:paraId="207AA7C1" w14:textId="77777777" w:rsidR="00DE38B5" w:rsidRPr="00552CEE" w:rsidRDefault="00DE38B5" w:rsidP="003446B0">
            <w:pPr>
              <w:rPr>
                <w:sz w:val="18"/>
                <w:szCs w:val="18"/>
              </w:rPr>
            </w:pPr>
            <w:r w:rsidRPr="00552CEE">
              <w:rPr>
                <w:sz w:val="18"/>
                <w:szCs w:val="18"/>
              </w:rPr>
              <w:t>Operational lifetime</w:t>
            </w:r>
          </w:p>
        </w:tc>
        <w:tc>
          <w:tcPr>
            <w:tcW w:w="3118" w:type="dxa"/>
          </w:tcPr>
          <w:p w14:paraId="1C826CD5" w14:textId="77777777" w:rsidR="00DE38B5" w:rsidRPr="00552CEE" w:rsidRDefault="00DE38B5" w:rsidP="003446B0">
            <w:pPr>
              <w:pStyle w:val="ListinTable"/>
              <w:ind w:left="0" w:firstLine="0"/>
              <w:cnfStyle w:val="000000100000" w:firstRow="0" w:lastRow="0" w:firstColumn="0" w:lastColumn="0" w:oddVBand="0" w:evenVBand="0" w:oddHBand="1" w:evenHBand="0" w:firstRowFirstColumn="0" w:firstRowLastColumn="0" w:lastRowFirstColumn="0" w:lastRowLastColumn="0"/>
              <w:rPr>
                <w:b/>
                <w:bCs/>
                <w:lang w:val="en-GB"/>
              </w:rPr>
            </w:pPr>
            <w:r w:rsidRPr="00552CEE">
              <w:rPr>
                <w:b/>
                <w:bCs/>
                <w:lang w:val="en-GB"/>
              </w:rPr>
              <w:t>30 years</w:t>
            </w:r>
          </w:p>
        </w:tc>
        <w:tc>
          <w:tcPr>
            <w:tcW w:w="4536" w:type="dxa"/>
          </w:tcPr>
          <w:p w14:paraId="5295F96D" w14:textId="57281624" w:rsidR="00DE38B5" w:rsidRPr="00552CEE" w:rsidRDefault="00DE38B5" w:rsidP="003446B0">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 xml:space="preserve"> </w:t>
            </w:r>
          </w:p>
        </w:tc>
      </w:tr>
      <w:tr w:rsidR="000B4D3F" w:rsidRPr="00552CEE" w14:paraId="670034EC" w14:textId="77777777" w:rsidTr="003446B0">
        <w:trPr>
          <w:trHeight w:val="234"/>
        </w:trPr>
        <w:tc>
          <w:tcPr>
            <w:cnfStyle w:val="001000000000" w:firstRow="0" w:lastRow="0" w:firstColumn="1" w:lastColumn="0" w:oddVBand="0" w:evenVBand="0" w:oddHBand="0" w:evenHBand="0" w:firstRowFirstColumn="0" w:firstRowLastColumn="0" w:lastRowFirstColumn="0" w:lastRowLastColumn="0"/>
            <w:tcW w:w="2127" w:type="dxa"/>
          </w:tcPr>
          <w:p w14:paraId="56BCC0F7" w14:textId="4A3A18EE" w:rsidR="000B4D3F" w:rsidRPr="00552CEE" w:rsidRDefault="000B4D3F" w:rsidP="003446B0">
            <w:pPr>
              <w:rPr>
                <w:b w:val="0"/>
                <w:bCs w:val="0"/>
                <w:sz w:val="18"/>
                <w:szCs w:val="18"/>
              </w:rPr>
            </w:pPr>
            <w:r w:rsidRPr="00552CEE">
              <w:rPr>
                <w:b w:val="0"/>
                <w:bCs w:val="0"/>
                <w:sz w:val="18"/>
                <w:szCs w:val="18"/>
              </w:rPr>
              <w:t>Ownership stake</w:t>
            </w:r>
          </w:p>
        </w:tc>
        <w:tc>
          <w:tcPr>
            <w:tcW w:w="3118" w:type="dxa"/>
          </w:tcPr>
          <w:p w14:paraId="4BCDFC67" w14:textId="38F43287" w:rsidR="000B4D3F" w:rsidRPr="00552CEE" w:rsidRDefault="000B4D3F" w:rsidP="003446B0">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10% - no commercial debt</w:t>
            </w:r>
          </w:p>
          <w:p w14:paraId="224397CD" w14:textId="0CFBE240" w:rsidR="000B4D3F" w:rsidRPr="00552CEE" w:rsidRDefault="000B4D3F" w:rsidP="003446B0">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 xml:space="preserve">20% - with </w:t>
            </w:r>
            <w:r w:rsidR="00552CEE" w:rsidRPr="00552CEE">
              <w:rPr>
                <w:lang w:val="en-GB"/>
              </w:rPr>
              <w:t>commercial</w:t>
            </w:r>
            <w:r w:rsidRPr="00552CEE">
              <w:rPr>
                <w:lang w:val="en-GB"/>
              </w:rPr>
              <w:t xml:space="preserve"> debt</w:t>
            </w:r>
          </w:p>
        </w:tc>
        <w:tc>
          <w:tcPr>
            <w:tcW w:w="4536" w:type="dxa"/>
          </w:tcPr>
          <w:p w14:paraId="162365AC" w14:textId="77777777" w:rsidR="000B4D3F" w:rsidRPr="00552CEE" w:rsidRDefault="000B4D3F" w:rsidP="003446B0">
            <w:pPr>
              <w:cnfStyle w:val="000000000000" w:firstRow="0" w:lastRow="0" w:firstColumn="0" w:lastColumn="0" w:oddVBand="0" w:evenVBand="0" w:oddHBand="0" w:evenHBand="0" w:firstRowFirstColumn="0" w:firstRowLastColumn="0" w:lastRowFirstColumn="0" w:lastRowLastColumn="0"/>
              <w:rPr>
                <w:sz w:val="18"/>
                <w:szCs w:val="18"/>
              </w:rPr>
            </w:pPr>
          </w:p>
        </w:tc>
      </w:tr>
    </w:tbl>
    <w:p w14:paraId="608ABCE0" w14:textId="77777777" w:rsidR="00563F59" w:rsidRPr="00552CEE" w:rsidRDefault="00563F59" w:rsidP="00563F59"/>
    <w:p w14:paraId="2FA16BF7" w14:textId="77777777" w:rsidR="00F31DCE" w:rsidRPr="00552CEE" w:rsidRDefault="00F31DCE" w:rsidP="00F31DCE">
      <w:pPr>
        <w:pStyle w:val="Heading2"/>
      </w:pPr>
      <w:r w:rsidRPr="00552CEE">
        <w:t xml:space="preserve">Commercial perspective </w:t>
      </w:r>
    </w:p>
    <w:p w14:paraId="15C74C5B" w14:textId="79359E27" w:rsidR="00F503C4" w:rsidRDefault="00056782" w:rsidP="00F31DCE">
      <w:pPr>
        <w:pStyle w:val="Heading3"/>
      </w:pPr>
      <w:r>
        <w:t>Balance sheet</w:t>
      </w:r>
      <w:r w:rsidR="00F503C4" w:rsidRPr="00552CEE">
        <w:t xml:space="preserve"> ownership (No project level debt)</w:t>
      </w:r>
    </w:p>
    <w:p w14:paraId="2D31CA9E" w14:textId="2042099F" w:rsidR="00F31DCE" w:rsidRDefault="00F31DCE" w:rsidP="00F31DCE">
      <w:r w:rsidRPr="00552CEE">
        <w:fldChar w:fldCharType="begin"/>
      </w:r>
      <w:r w:rsidRPr="00552CEE">
        <w:instrText xml:space="preserve"> REF _Ref225974029 \h </w:instrText>
      </w:r>
      <w:r w:rsidRPr="00552CEE">
        <w:fldChar w:fldCharType="separate"/>
      </w:r>
      <w:r w:rsidR="00BA359F" w:rsidRPr="00552CEE">
        <w:t xml:space="preserve">Table </w:t>
      </w:r>
      <w:r w:rsidR="00BA359F">
        <w:rPr>
          <w:noProof/>
        </w:rPr>
        <w:t>17</w:t>
      </w:r>
      <w:r w:rsidRPr="00552CEE">
        <w:fldChar w:fldCharType="end"/>
      </w:r>
      <w:r w:rsidRPr="00552CEE">
        <w:t xml:space="preserve"> </w:t>
      </w:r>
      <w:r w:rsidR="0022098F" w:rsidRPr="00552CEE">
        <w:t>provides an overview of the whole project, showing that annual revenues during the CfD period are just over £12 million, compared with £3.2 million of ongoing operational costs, including TNUoS. The remainder is used to repay the initial £79 million investment</w:t>
      </w:r>
      <w:r w:rsidRPr="00552CEE">
        <w:t xml:space="preserve">. </w:t>
      </w:r>
    </w:p>
    <w:p w14:paraId="31C4E6FB" w14:textId="77777777" w:rsidR="00F503C4" w:rsidRDefault="00F503C4" w:rsidP="00F31DCE"/>
    <w:p w14:paraId="04F22EAD" w14:textId="77777777" w:rsidR="00F503C4" w:rsidRPr="00552CEE" w:rsidRDefault="00F503C4" w:rsidP="00F31DCE"/>
    <w:p w14:paraId="0E089E1D" w14:textId="5DA17439" w:rsidR="00F31DCE" w:rsidRPr="00552CEE" w:rsidRDefault="00F31DCE" w:rsidP="00F503C4">
      <w:pPr>
        <w:pStyle w:val="Caption"/>
        <w:keepNext/>
        <w:jc w:val="center"/>
      </w:pPr>
      <w:bookmarkStart w:id="6" w:name="_Ref225974029"/>
      <w:r w:rsidRPr="00552CEE">
        <w:lastRenderedPageBreak/>
        <w:t xml:space="preserve">Table </w:t>
      </w:r>
      <w:fldSimple w:instr=" SEQ Table \* ARABIC ">
        <w:r w:rsidR="00BA359F">
          <w:rPr>
            <w:noProof/>
          </w:rPr>
          <w:t>17</w:t>
        </w:r>
      </w:fldSimple>
      <w:bookmarkEnd w:id="6"/>
      <w:r w:rsidRPr="00552CEE">
        <w:t xml:space="preserve">: Overview of the total costs and </w:t>
      </w:r>
      <w:r w:rsidR="00552CEE" w:rsidRPr="00552CEE">
        <w:t>revenue</w:t>
      </w:r>
      <w:r w:rsidRPr="00552CEE">
        <w:t xml:space="preserve"> of the project.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828"/>
        <w:gridCol w:w="1729"/>
      </w:tblGrid>
      <w:tr w:rsidR="00F31DCE" w:rsidRPr="00552CEE" w14:paraId="78FCFCC9" w14:textId="77777777" w:rsidTr="00F503C4">
        <w:trPr>
          <w:jc w:val="center"/>
        </w:trPr>
        <w:tc>
          <w:tcPr>
            <w:tcW w:w="3828" w:type="dxa"/>
            <w:shd w:val="clear" w:color="auto" w:fill="D0CECE" w:themeFill="background2" w:themeFillShade="E6"/>
          </w:tcPr>
          <w:p w14:paraId="5EB7BA52" w14:textId="77777777" w:rsidR="00F31DCE" w:rsidRPr="00552CEE" w:rsidRDefault="00F31DCE" w:rsidP="00F503C4">
            <w:pPr>
              <w:jc w:val="center"/>
              <w:rPr>
                <w:i/>
                <w:iCs/>
              </w:rPr>
            </w:pPr>
          </w:p>
        </w:tc>
        <w:tc>
          <w:tcPr>
            <w:tcW w:w="1729" w:type="dxa"/>
            <w:shd w:val="clear" w:color="auto" w:fill="D0CECE" w:themeFill="background2" w:themeFillShade="E6"/>
          </w:tcPr>
          <w:p w14:paraId="4973C297" w14:textId="77777777" w:rsidR="00F31DCE" w:rsidRPr="00552CEE" w:rsidRDefault="00F31DCE" w:rsidP="00F503C4">
            <w:pPr>
              <w:jc w:val="center"/>
            </w:pPr>
          </w:p>
        </w:tc>
      </w:tr>
      <w:tr w:rsidR="00F31DCE" w:rsidRPr="00552CEE" w14:paraId="3D36A8B8" w14:textId="77777777" w:rsidTr="00F503C4">
        <w:trPr>
          <w:jc w:val="center"/>
        </w:trPr>
        <w:tc>
          <w:tcPr>
            <w:tcW w:w="3828" w:type="dxa"/>
          </w:tcPr>
          <w:p w14:paraId="1C7A945F" w14:textId="77777777" w:rsidR="00F31DCE" w:rsidRPr="00552CEE" w:rsidRDefault="00F31DCE" w:rsidP="00F503C4">
            <w:pPr>
              <w:jc w:val="center"/>
            </w:pPr>
            <w:r w:rsidRPr="00552CEE">
              <w:t>Generation capacity</w:t>
            </w:r>
          </w:p>
        </w:tc>
        <w:tc>
          <w:tcPr>
            <w:tcW w:w="1729" w:type="dxa"/>
          </w:tcPr>
          <w:p w14:paraId="259AC2FA" w14:textId="77777777" w:rsidR="00F31DCE" w:rsidRPr="00552CEE" w:rsidRDefault="00F31DCE" w:rsidP="00F503C4">
            <w:pPr>
              <w:jc w:val="center"/>
            </w:pPr>
            <w:r w:rsidRPr="00552CEE">
              <w:t>51 MW</w:t>
            </w:r>
          </w:p>
        </w:tc>
      </w:tr>
      <w:tr w:rsidR="00F31DCE" w:rsidRPr="00552CEE" w14:paraId="75D44D0B" w14:textId="77777777" w:rsidTr="00F503C4">
        <w:trPr>
          <w:jc w:val="center"/>
        </w:trPr>
        <w:tc>
          <w:tcPr>
            <w:tcW w:w="3828" w:type="dxa"/>
            <w:vAlign w:val="bottom"/>
          </w:tcPr>
          <w:p w14:paraId="74F361A6" w14:textId="77777777" w:rsidR="00F31DCE" w:rsidRPr="00552CEE" w:rsidRDefault="00F31DCE" w:rsidP="00F503C4">
            <w:pPr>
              <w:jc w:val="center"/>
            </w:pPr>
            <w:r w:rsidRPr="00552CEE">
              <w:t>Total capital investment</w:t>
            </w:r>
          </w:p>
        </w:tc>
        <w:tc>
          <w:tcPr>
            <w:tcW w:w="1729" w:type="dxa"/>
          </w:tcPr>
          <w:p w14:paraId="37F61018" w14:textId="77777777" w:rsidR="00F31DCE" w:rsidRPr="00552CEE" w:rsidRDefault="00F31DCE" w:rsidP="00F503C4">
            <w:pPr>
              <w:jc w:val="center"/>
            </w:pPr>
            <w:r w:rsidRPr="00552CEE">
              <w:t>£79 million</w:t>
            </w:r>
          </w:p>
        </w:tc>
      </w:tr>
      <w:tr w:rsidR="00F31DCE" w:rsidRPr="00552CEE" w14:paraId="54F0DC99" w14:textId="77777777" w:rsidTr="00F503C4">
        <w:trPr>
          <w:jc w:val="center"/>
        </w:trPr>
        <w:tc>
          <w:tcPr>
            <w:tcW w:w="3828" w:type="dxa"/>
            <w:vAlign w:val="bottom"/>
          </w:tcPr>
          <w:p w14:paraId="6C9CA783" w14:textId="77777777" w:rsidR="00F31DCE" w:rsidRPr="00552CEE" w:rsidRDefault="00F31DCE" w:rsidP="00F503C4">
            <w:pPr>
              <w:jc w:val="center"/>
            </w:pPr>
            <w:r w:rsidRPr="00552CEE">
              <w:t>Annual O&amp;M costs</w:t>
            </w:r>
          </w:p>
        </w:tc>
        <w:tc>
          <w:tcPr>
            <w:tcW w:w="1729" w:type="dxa"/>
          </w:tcPr>
          <w:p w14:paraId="50D34AFE" w14:textId="77777777" w:rsidR="00F31DCE" w:rsidRPr="00552CEE" w:rsidRDefault="00F31DCE" w:rsidP="00F503C4">
            <w:pPr>
              <w:jc w:val="center"/>
            </w:pPr>
            <w:r w:rsidRPr="00552CEE">
              <w:t>£2.4 million</w:t>
            </w:r>
          </w:p>
        </w:tc>
      </w:tr>
      <w:tr w:rsidR="00F31DCE" w:rsidRPr="00552CEE" w14:paraId="0BD3CCC7" w14:textId="77777777" w:rsidTr="00F503C4">
        <w:trPr>
          <w:jc w:val="center"/>
        </w:trPr>
        <w:tc>
          <w:tcPr>
            <w:tcW w:w="3828" w:type="dxa"/>
            <w:vAlign w:val="bottom"/>
          </w:tcPr>
          <w:p w14:paraId="374BA9C2" w14:textId="77777777" w:rsidR="00F31DCE" w:rsidRPr="00552CEE" w:rsidRDefault="00F31DCE" w:rsidP="00F503C4">
            <w:pPr>
              <w:jc w:val="center"/>
            </w:pPr>
            <w:r w:rsidRPr="00552CEE">
              <w:t>Annual TNUoS (2030)</w:t>
            </w:r>
          </w:p>
        </w:tc>
        <w:tc>
          <w:tcPr>
            <w:tcW w:w="1729" w:type="dxa"/>
          </w:tcPr>
          <w:p w14:paraId="6CBC3896" w14:textId="77777777" w:rsidR="00F31DCE" w:rsidRPr="00552CEE" w:rsidRDefault="00F31DCE" w:rsidP="00F503C4">
            <w:pPr>
              <w:jc w:val="center"/>
            </w:pPr>
            <w:r w:rsidRPr="00552CEE">
              <w:t>£1.02 million</w:t>
            </w:r>
          </w:p>
        </w:tc>
      </w:tr>
      <w:tr w:rsidR="00F31DCE" w:rsidRPr="00552CEE" w14:paraId="0A14A910" w14:textId="77777777" w:rsidTr="00F503C4">
        <w:trPr>
          <w:jc w:val="center"/>
        </w:trPr>
        <w:tc>
          <w:tcPr>
            <w:tcW w:w="3828" w:type="dxa"/>
            <w:vAlign w:val="bottom"/>
          </w:tcPr>
          <w:p w14:paraId="5763B28D" w14:textId="77777777" w:rsidR="00F31DCE" w:rsidRPr="00552CEE" w:rsidRDefault="00F31DCE" w:rsidP="00F503C4">
            <w:pPr>
              <w:jc w:val="center"/>
            </w:pPr>
          </w:p>
        </w:tc>
        <w:tc>
          <w:tcPr>
            <w:tcW w:w="1729" w:type="dxa"/>
          </w:tcPr>
          <w:p w14:paraId="26C5B745" w14:textId="77777777" w:rsidR="00F31DCE" w:rsidRPr="00552CEE" w:rsidRDefault="00F31DCE" w:rsidP="00F503C4">
            <w:pPr>
              <w:jc w:val="center"/>
            </w:pPr>
          </w:p>
        </w:tc>
      </w:tr>
      <w:tr w:rsidR="00F31DCE" w:rsidRPr="00552CEE" w14:paraId="41C5EF6D" w14:textId="77777777" w:rsidTr="00F503C4">
        <w:trPr>
          <w:jc w:val="center"/>
        </w:trPr>
        <w:tc>
          <w:tcPr>
            <w:tcW w:w="3828" w:type="dxa"/>
            <w:vAlign w:val="bottom"/>
          </w:tcPr>
          <w:p w14:paraId="55A679DE" w14:textId="77777777" w:rsidR="00F31DCE" w:rsidRPr="00552CEE" w:rsidRDefault="00F31DCE" w:rsidP="00F503C4">
            <w:pPr>
              <w:jc w:val="center"/>
            </w:pPr>
            <w:r w:rsidRPr="00552CEE">
              <w:t>Annual Revenue (CfD period)</w:t>
            </w:r>
          </w:p>
        </w:tc>
        <w:tc>
          <w:tcPr>
            <w:tcW w:w="1729" w:type="dxa"/>
          </w:tcPr>
          <w:p w14:paraId="6E9E162F" w14:textId="77777777" w:rsidR="00F31DCE" w:rsidRPr="00552CEE" w:rsidRDefault="00F31DCE" w:rsidP="00F503C4">
            <w:pPr>
              <w:jc w:val="center"/>
            </w:pPr>
            <w:r w:rsidRPr="00552CEE">
              <w:t>£12.1 million</w:t>
            </w:r>
          </w:p>
        </w:tc>
      </w:tr>
    </w:tbl>
    <w:p w14:paraId="793CE170" w14:textId="77777777" w:rsidR="00F31DCE" w:rsidRPr="00552CEE" w:rsidRDefault="00F31DCE" w:rsidP="00563F59"/>
    <w:p w14:paraId="77B052D2" w14:textId="1FB931F1" w:rsidR="00F31DCE" w:rsidRPr="00552CEE" w:rsidRDefault="00F31DCE" w:rsidP="00F31DCE">
      <w:r w:rsidRPr="00552CEE">
        <w:t xml:space="preserve">Under a </w:t>
      </w:r>
      <w:r w:rsidR="00056782">
        <w:t xml:space="preserve">balance sheet </w:t>
      </w:r>
      <w:r w:rsidRPr="00552CEE">
        <w:t xml:space="preserve">ownership model with no project-level debt, the project delivers </w:t>
      </w:r>
      <w:r w:rsidR="00716859" w:rsidRPr="00552CEE">
        <w:t xml:space="preserve">positive and relatively stable cash flows </w:t>
      </w:r>
      <w:r w:rsidRPr="00552CEE">
        <w:t>over its lifetime.</w:t>
      </w:r>
    </w:p>
    <w:p w14:paraId="4266347B" w14:textId="77777777" w:rsidR="00F31DCE" w:rsidRPr="00552CEE" w:rsidRDefault="00F31DCE" w:rsidP="00F31DCE">
      <w:r w:rsidRPr="00552CEE">
        <w:t>In 2030, during the CfD support period, the project is expected to generate operating revenue of £12.1 million. After accounting for operating costs, this results in net operating income of £8.68 million.</w:t>
      </w:r>
    </w:p>
    <w:p w14:paraId="65F825A1" w14:textId="77777777" w:rsidR="00F31DCE" w:rsidRPr="00552CEE" w:rsidRDefault="00F31DCE" w:rsidP="00F31DCE">
      <w:r w:rsidRPr="00552CEE">
        <w:t>Following the end of the CfD period, revenues reduce due to exposure to wholesale market prices. By 2043, operating revenue is projected to fall to £9.0 million, with net operating income of £5.4 million after operating costs.</w:t>
      </w:r>
    </w:p>
    <w:p w14:paraId="3C2C0CAD" w14:textId="48A9A776" w:rsidR="00F31DCE" w:rsidRDefault="00460E42" w:rsidP="00460E42">
      <w:r w:rsidRPr="00552CEE">
        <w:t>Over the full project lifetime, this scenario delivers an ungeared internal rate of return (IRR) of 8.9%, alongside a net present value (NPV) of £5.8 million when assessed against an 8% discount rate.</w:t>
      </w:r>
    </w:p>
    <w:p w14:paraId="41E97D81" w14:textId="7697E07B" w:rsidR="00F503C4" w:rsidRDefault="00F503C4" w:rsidP="00460E42">
      <w:pPr>
        <w:pStyle w:val="Heading3"/>
      </w:pPr>
      <w:r w:rsidRPr="00552CEE">
        <w:t>Project finance (debt and equity financing)</w:t>
      </w:r>
    </w:p>
    <w:p w14:paraId="1BF7D349" w14:textId="0860F784" w:rsidR="00F503C4" w:rsidRPr="00552CEE" w:rsidRDefault="00F503C4" w:rsidP="00F503C4">
      <w:r w:rsidRPr="00552CEE">
        <w:t>Assuming a project finance structure where debt is used to fund 70% of the capital investment, with an interest rate of 6% and repaid over the first 15 years of operation on a flat repayment profile, the financing structure comprises £23 million of equity and £55 million of debt. Total interest payments over this period amount to £38 million, resulting in total debt repayments of £93 million over 15 years</w:t>
      </w:r>
      <w:r w:rsidR="00033466">
        <w:t xml:space="preserve">. Details are summarised in </w:t>
      </w:r>
      <w:r w:rsidR="00033466">
        <w:fldChar w:fldCharType="begin"/>
      </w:r>
      <w:r w:rsidR="00033466">
        <w:instrText xml:space="preserve"> REF _Ref226042146 \h </w:instrText>
      </w:r>
      <w:r w:rsidR="00033466">
        <w:fldChar w:fldCharType="separate"/>
      </w:r>
      <w:r w:rsidR="00BA359F">
        <w:t xml:space="preserve">Table </w:t>
      </w:r>
      <w:r w:rsidR="00BA359F">
        <w:rPr>
          <w:noProof/>
        </w:rPr>
        <w:t>18</w:t>
      </w:r>
      <w:r w:rsidR="00033466">
        <w:fldChar w:fldCharType="end"/>
      </w:r>
    </w:p>
    <w:p w14:paraId="0D714800" w14:textId="3687C2C1" w:rsidR="00F503C4" w:rsidRPr="00552CEE" w:rsidRDefault="00F503C4" w:rsidP="00F503C4">
      <w:r w:rsidRPr="00552CEE">
        <w:t>In 2030, during the CfD period and while debt is being serviced, the project is expected to generate operating revenue of £12.1 million. After accounting for operating costs, net operating income is £8.5 million. Once debt service is included, the remaining cash flow to equity is £2.</w:t>
      </w:r>
      <w:r w:rsidR="00BB7E11">
        <w:t>4</w:t>
      </w:r>
      <w:r w:rsidRPr="00552CEE">
        <w:t>9 million.</w:t>
      </w:r>
      <w:r w:rsidR="00167319">
        <w:t xml:space="preserve"> This is summarised in </w:t>
      </w:r>
      <w:r w:rsidR="00167319">
        <w:fldChar w:fldCharType="begin"/>
      </w:r>
      <w:r w:rsidR="00167319">
        <w:instrText xml:space="preserve"> REF _Ref226042165 \h </w:instrText>
      </w:r>
      <w:r w:rsidR="00167319">
        <w:fldChar w:fldCharType="separate"/>
      </w:r>
      <w:r w:rsidR="00BA359F">
        <w:t xml:space="preserve">Table </w:t>
      </w:r>
      <w:r w:rsidR="00BA359F">
        <w:rPr>
          <w:noProof/>
        </w:rPr>
        <w:t>19</w:t>
      </w:r>
      <w:r w:rsidR="00167319">
        <w:fldChar w:fldCharType="end"/>
      </w:r>
    </w:p>
    <w:p w14:paraId="4DE3EF7B" w14:textId="4F2BC906" w:rsidR="00F503C4" w:rsidRPr="00552CEE" w:rsidRDefault="00F503C4" w:rsidP="00F503C4">
      <w:r w:rsidRPr="00552CEE">
        <w:t xml:space="preserve">By 2045, after both the CfD support period and the debt repayment period have ended, operating revenues are assumed to be the same as in the </w:t>
      </w:r>
      <w:r w:rsidR="00056782">
        <w:t xml:space="preserve">balance sheet </w:t>
      </w:r>
      <w:r w:rsidRPr="00552CEE">
        <w:t>ownership case. Annual operating revenue is projected at £9.0 million, with £5.4 million remaining after operating costs.</w:t>
      </w:r>
    </w:p>
    <w:p w14:paraId="3C672676" w14:textId="77777777" w:rsidR="00F503C4" w:rsidRPr="00552CEE" w:rsidRDefault="00F503C4" w:rsidP="00F503C4">
      <w:r w:rsidRPr="00552CEE">
        <w:t>Under this financing structure, the project delivers an equity internal rate of return (IRR) of 11.4%.</w:t>
      </w:r>
    </w:p>
    <w:p w14:paraId="347071FA" w14:textId="77777777" w:rsidR="00F503C4" w:rsidRPr="00F503C4" w:rsidRDefault="00F503C4" w:rsidP="00F503C4"/>
    <w:p w14:paraId="25F42F46" w14:textId="21B0CCA3" w:rsidR="00F503C4" w:rsidRDefault="00F503C4" w:rsidP="00F503C4">
      <w:pPr>
        <w:pStyle w:val="Caption"/>
        <w:keepNext/>
        <w:jc w:val="center"/>
      </w:pPr>
      <w:bookmarkStart w:id="7" w:name="_Ref226042146"/>
      <w:bookmarkStart w:id="8" w:name="_Ref226042143"/>
      <w:r>
        <w:lastRenderedPageBreak/>
        <w:t xml:space="preserve">Table </w:t>
      </w:r>
      <w:fldSimple w:instr=" SEQ Table \* ARABIC ">
        <w:r w:rsidR="00BA359F">
          <w:rPr>
            <w:noProof/>
          </w:rPr>
          <w:t>18</w:t>
        </w:r>
      </w:fldSimple>
      <w:bookmarkEnd w:id="7"/>
      <w:r>
        <w:t>: Commercial debt parameters for the onshore wind project</w:t>
      </w:r>
      <w:bookmarkEnd w:id="8"/>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828"/>
        <w:gridCol w:w="1729"/>
      </w:tblGrid>
      <w:tr w:rsidR="002F5A39" w:rsidRPr="00552CEE" w14:paraId="47A75945" w14:textId="77777777" w:rsidTr="00F503C4">
        <w:trPr>
          <w:jc w:val="center"/>
        </w:trPr>
        <w:tc>
          <w:tcPr>
            <w:tcW w:w="3828" w:type="dxa"/>
            <w:shd w:val="clear" w:color="auto" w:fill="D0CECE" w:themeFill="background2" w:themeFillShade="E6"/>
          </w:tcPr>
          <w:p w14:paraId="3E97BA17" w14:textId="39EDB76A" w:rsidR="002F5A39" w:rsidRPr="00552CEE" w:rsidRDefault="00F503C4" w:rsidP="00D54DAF">
            <w:pPr>
              <w:rPr>
                <w:i/>
                <w:iCs/>
              </w:rPr>
            </w:pPr>
            <w:r>
              <w:rPr>
                <w:i/>
                <w:iCs/>
              </w:rPr>
              <w:t>Commercial</w:t>
            </w:r>
            <w:r w:rsidR="002F5A39">
              <w:rPr>
                <w:i/>
                <w:iCs/>
              </w:rPr>
              <w:t xml:space="preserve"> debt parameter</w:t>
            </w:r>
          </w:p>
        </w:tc>
        <w:tc>
          <w:tcPr>
            <w:tcW w:w="1729" w:type="dxa"/>
            <w:shd w:val="clear" w:color="auto" w:fill="D0CECE" w:themeFill="background2" w:themeFillShade="E6"/>
          </w:tcPr>
          <w:p w14:paraId="5DCAC9AA" w14:textId="77777777" w:rsidR="002F5A39" w:rsidRPr="00552CEE" w:rsidRDefault="002F5A39" w:rsidP="00D54DAF">
            <w:pPr>
              <w:jc w:val="center"/>
            </w:pPr>
          </w:p>
        </w:tc>
      </w:tr>
      <w:tr w:rsidR="002F5A39" w:rsidRPr="00552CEE" w14:paraId="49735090" w14:textId="77777777" w:rsidTr="00F503C4">
        <w:trPr>
          <w:jc w:val="center"/>
        </w:trPr>
        <w:tc>
          <w:tcPr>
            <w:tcW w:w="3828" w:type="dxa"/>
          </w:tcPr>
          <w:p w14:paraId="7A189616" w14:textId="4F0EF674" w:rsidR="002F5A39" w:rsidRPr="00552CEE" w:rsidRDefault="002F5A39" w:rsidP="00D54DAF">
            <w:r>
              <w:t>Total Loan</w:t>
            </w:r>
          </w:p>
        </w:tc>
        <w:tc>
          <w:tcPr>
            <w:tcW w:w="1729" w:type="dxa"/>
          </w:tcPr>
          <w:p w14:paraId="1C42CB05" w14:textId="47392CB2" w:rsidR="002F5A39" w:rsidRPr="00552CEE" w:rsidRDefault="002F5A39" w:rsidP="00D54DAF">
            <w:pPr>
              <w:jc w:val="center"/>
            </w:pPr>
            <w:r>
              <w:t>£55 million</w:t>
            </w:r>
          </w:p>
        </w:tc>
      </w:tr>
      <w:tr w:rsidR="002F5A39" w:rsidRPr="00552CEE" w14:paraId="70F760FB" w14:textId="77777777" w:rsidTr="00F503C4">
        <w:trPr>
          <w:jc w:val="center"/>
        </w:trPr>
        <w:tc>
          <w:tcPr>
            <w:tcW w:w="3828" w:type="dxa"/>
            <w:vAlign w:val="bottom"/>
          </w:tcPr>
          <w:p w14:paraId="67E684AB" w14:textId="0394643D" w:rsidR="002F5A39" w:rsidRPr="00552CEE" w:rsidRDefault="002F5A39" w:rsidP="00D54DAF">
            <w:r>
              <w:t>Interest rate</w:t>
            </w:r>
          </w:p>
        </w:tc>
        <w:tc>
          <w:tcPr>
            <w:tcW w:w="1729" w:type="dxa"/>
          </w:tcPr>
          <w:p w14:paraId="117C8497" w14:textId="6F6D64E7" w:rsidR="002F5A39" w:rsidRPr="00552CEE" w:rsidRDefault="002F5A39" w:rsidP="002F5A39">
            <w:pPr>
              <w:jc w:val="center"/>
            </w:pPr>
            <w:r>
              <w:t>6%</w:t>
            </w:r>
          </w:p>
        </w:tc>
      </w:tr>
      <w:tr w:rsidR="002F5A39" w:rsidRPr="00552CEE" w14:paraId="1BD6989A" w14:textId="77777777" w:rsidTr="00F503C4">
        <w:trPr>
          <w:jc w:val="center"/>
        </w:trPr>
        <w:tc>
          <w:tcPr>
            <w:tcW w:w="3828" w:type="dxa"/>
            <w:vAlign w:val="bottom"/>
          </w:tcPr>
          <w:p w14:paraId="7148C374" w14:textId="3E461697" w:rsidR="002F5A39" w:rsidRDefault="00F503C4" w:rsidP="00D54DAF">
            <w:r>
              <w:t>Tenor</w:t>
            </w:r>
          </w:p>
        </w:tc>
        <w:tc>
          <w:tcPr>
            <w:tcW w:w="1729" w:type="dxa"/>
          </w:tcPr>
          <w:p w14:paraId="0F7F25B7" w14:textId="6D3F9F3E" w:rsidR="002F5A39" w:rsidRDefault="002F5A39" w:rsidP="002F5A39">
            <w:pPr>
              <w:jc w:val="center"/>
            </w:pPr>
            <w:r>
              <w:t>15 years</w:t>
            </w:r>
          </w:p>
        </w:tc>
      </w:tr>
      <w:tr w:rsidR="002F5A39" w:rsidRPr="00552CEE" w14:paraId="22549AAD" w14:textId="77777777" w:rsidTr="00F503C4">
        <w:trPr>
          <w:jc w:val="center"/>
        </w:trPr>
        <w:tc>
          <w:tcPr>
            <w:tcW w:w="3828" w:type="dxa"/>
            <w:vAlign w:val="bottom"/>
          </w:tcPr>
          <w:p w14:paraId="01D925B0" w14:textId="77777777" w:rsidR="002F5A39" w:rsidRDefault="002F5A39" w:rsidP="00D54DAF">
            <w:r>
              <w:t>Annual Debt financing</w:t>
            </w:r>
          </w:p>
        </w:tc>
        <w:tc>
          <w:tcPr>
            <w:tcW w:w="1729" w:type="dxa"/>
          </w:tcPr>
          <w:p w14:paraId="028779B4" w14:textId="3CF360FB" w:rsidR="002F5A39" w:rsidRPr="00552CEE" w:rsidRDefault="002F5A39" w:rsidP="00D54DAF">
            <w:pPr>
              <w:jc w:val="center"/>
            </w:pPr>
            <w:r>
              <w:t>£</w:t>
            </w:r>
            <w:r w:rsidR="00877544">
              <w:t>6.21</w:t>
            </w:r>
            <w:r>
              <w:t xml:space="preserve"> million</w:t>
            </w:r>
          </w:p>
        </w:tc>
      </w:tr>
    </w:tbl>
    <w:p w14:paraId="2B03B9B8" w14:textId="77777777" w:rsidR="00D81546" w:rsidRDefault="00D81546" w:rsidP="00460E42"/>
    <w:p w14:paraId="639657FD" w14:textId="65D266B3" w:rsidR="00F503C4" w:rsidRDefault="00F503C4" w:rsidP="00F503C4">
      <w:pPr>
        <w:pStyle w:val="Caption"/>
        <w:keepNext/>
        <w:jc w:val="center"/>
      </w:pPr>
      <w:bookmarkStart w:id="9" w:name="_Ref226042165"/>
      <w:r>
        <w:t xml:space="preserve">Table </w:t>
      </w:r>
      <w:fldSimple w:instr=" SEQ Table \* ARABIC ">
        <w:r w:rsidR="00BA359F">
          <w:rPr>
            <w:noProof/>
          </w:rPr>
          <w:t>19</w:t>
        </w:r>
      </w:fldSimple>
      <w:bookmarkEnd w:id="9"/>
      <w:r>
        <w:t>: Overall project costs and revenues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828"/>
        <w:gridCol w:w="1729"/>
      </w:tblGrid>
      <w:tr w:rsidR="00D81546" w:rsidRPr="00552CEE" w14:paraId="4DE04DA2" w14:textId="77777777" w:rsidTr="00F503C4">
        <w:trPr>
          <w:jc w:val="center"/>
        </w:trPr>
        <w:tc>
          <w:tcPr>
            <w:tcW w:w="3828" w:type="dxa"/>
            <w:shd w:val="clear" w:color="auto" w:fill="D0CECE" w:themeFill="background2" w:themeFillShade="E6"/>
          </w:tcPr>
          <w:p w14:paraId="4AE68042" w14:textId="77777777" w:rsidR="00D81546" w:rsidRPr="00552CEE" w:rsidRDefault="00D81546" w:rsidP="00D54DAF">
            <w:pPr>
              <w:rPr>
                <w:i/>
                <w:iCs/>
              </w:rPr>
            </w:pPr>
          </w:p>
        </w:tc>
        <w:tc>
          <w:tcPr>
            <w:tcW w:w="1729" w:type="dxa"/>
            <w:shd w:val="clear" w:color="auto" w:fill="D0CECE" w:themeFill="background2" w:themeFillShade="E6"/>
          </w:tcPr>
          <w:p w14:paraId="07D33D38" w14:textId="77777777" w:rsidR="00D81546" w:rsidRPr="00552CEE" w:rsidRDefault="00D81546" w:rsidP="00D54DAF">
            <w:pPr>
              <w:jc w:val="center"/>
            </w:pPr>
          </w:p>
        </w:tc>
      </w:tr>
      <w:tr w:rsidR="00D81546" w:rsidRPr="00552CEE" w14:paraId="07422261" w14:textId="77777777" w:rsidTr="00F503C4">
        <w:trPr>
          <w:jc w:val="center"/>
        </w:trPr>
        <w:tc>
          <w:tcPr>
            <w:tcW w:w="3828" w:type="dxa"/>
          </w:tcPr>
          <w:p w14:paraId="310F13D9" w14:textId="77777777" w:rsidR="00D81546" w:rsidRPr="00552CEE" w:rsidRDefault="00D81546" w:rsidP="00D54DAF">
            <w:r w:rsidRPr="00552CEE">
              <w:t>Generation capacity</w:t>
            </w:r>
          </w:p>
        </w:tc>
        <w:tc>
          <w:tcPr>
            <w:tcW w:w="1729" w:type="dxa"/>
          </w:tcPr>
          <w:p w14:paraId="2A793710" w14:textId="77777777" w:rsidR="00D81546" w:rsidRPr="00552CEE" w:rsidRDefault="00D81546" w:rsidP="00D54DAF">
            <w:pPr>
              <w:jc w:val="center"/>
            </w:pPr>
            <w:r w:rsidRPr="00552CEE">
              <w:t>51 MW</w:t>
            </w:r>
          </w:p>
        </w:tc>
      </w:tr>
      <w:tr w:rsidR="00D81546" w:rsidRPr="00552CEE" w14:paraId="375A572B" w14:textId="77777777" w:rsidTr="00F503C4">
        <w:trPr>
          <w:jc w:val="center"/>
        </w:trPr>
        <w:tc>
          <w:tcPr>
            <w:tcW w:w="3828" w:type="dxa"/>
            <w:vAlign w:val="bottom"/>
          </w:tcPr>
          <w:p w14:paraId="0F2D943F" w14:textId="77777777" w:rsidR="00D81546" w:rsidRPr="002F5A39" w:rsidRDefault="00D81546" w:rsidP="00D54DAF">
            <w:r w:rsidRPr="002F5A39">
              <w:t>Total capital investment</w:t>
            </w:r>
          </w:p>
        </w:tc>
        <w:tc>
          <w:tcPr>
            <w:tcW w:w="1729" w:type="dxa"/>
          </w:tcPr>
          <w:p w14:paraId="629CE06B" w14:textId="77777777" w:rsidR="00D81546" w:rsidRPr="002F5A39" w:rsidRDefault="00D81546" w:rsidP="00D54DAF">
            <w:pPr>
              <w:jc w:val="center"/>
            </w:pPr>
            <w:r w:rsidRPr="002F5A39">
              <w:t>£79 million</w:t>
            </w:r>
          </w:p>
        </w:tc>
      </w:tr>
      <w:tr w:rsidR="00D81546" w:rsidRPr="00552CEE" w14:paraId="77724082" w14:textId="77777777" w:rsidTr="00F503C4">
        <w:trPr>
          <w:jc w:val="center"/>
        </w:trPr>
        <w:tc>
          <w:tcPr>
            <w:tcW w:w="3828" w:type="dxa"/>
            <w:vAlign w:val="bottom"/>
          </w:tcPr>
          <w:p w14:paraId="1FCECE7C" w14:textId="77777777" w:rsidR="00D81546" w:rsidRPr="002F5A39" w:rsidRDefault="00D81546" w:rsidP="00D54DAF">
            <w:r w:rsidRPr="002F5A39">
              <w:t>Annual O&amp;M costs</w:t>
            </w:r>
          </w:p>
        </w:tc>
        <w:tc>
          <w:tcPr>
            <w:tcW w:w="1729" w:type="dxa"/>
          </w:tcPr>
          <w:p w14:paraId="5BD437EC" w14:textId="77777777" w:rsidR="00D81546" w:rsidRPr="002F5A39" w:rsidRDefault="00D81546" w:rsidP="00D54DAF">
            <w:pPr>
              <w:jc w:val="center"/>
            </w:pPr>
            <w:r w:rsidRPr="002F5A39">
              <w:t>£2.4 million</w:t>
            </w:r>
          </w:p>
        </w:tc>
      </w:tr>
      <w:tr w:rsidR="00D81546" w:rsidRPr="00552CEE" w14:paraId="5B865642" w14:textId="77777777" w:rsidTr="00F503C4">
        <w:trPr>
          <w:jc w:val="center"/>
        </w:trPr>
        <w:tc>
          <w:tcPr>
            <w:tcW w:w="3828" w:type="dxa"/>
            <w:vAlign w:val="bottom"/>
          </w:tcPr>
          <w:p w14:paraId="7521AB04" w14:textId="77777777" w:rsidR="00D81546" w:rsidRPr="002F5A39" w:rsidRDefault="00D81546" w:rsidP="00D54DAF">
            <w:r w:rsidRPr="002F5A39">
              <w:t>Annual TNUoS (2030)</w:t>
            </w:r>
          </w:p>
        </w:tc>
        <w:tc>
          <w:tcPr>
            <w:tcW w:w="1729" w:type="dxa"/>
          </w:tcPr>
          <w:p w14:paraId="27AAB8F5" w14:textId="77777777" w:rsidR="00D81546" w:rsidRPr="002F5A39" w:rsidRDefault="00D81546" w:rsidP="00D54DAF">
            <w:pPr>
              <w:jc w:val="center"/>
            </w:pPr>
            <w:r w:rsidRPr="002F5A39">
              <w:t>£1.02 million</w:t>
            </w:r>
          </w:p>
        </w:tc>
      </w:tr>
      <w:tr w:rsidR="00D81546" w:rsidRPr="00552CEE" w14:paraId="3172231B" w14:textId="77777777" w:rsidTr="00F503C4">
        <w:trPr>
          <w:jc w:val="center"/>
        </w:trPr>
        <w:tc>
          <w:tcPr>
            <w:tcW w:w="3828" w:type="dxa"/>
            <w:vAlign w:val="bottom"/>
          </w:tcPr>
          <w:p w14:paraId="3D403994" w14:textId="4E8E9E5F" w:rsidR="00D81546" w:rsidRPr="002F5A39" w:rsidRDefault="00D81546" w:rsidP="00D54DAF">
            <w:r w:rsidRPr="002F5A39">
              <w:t>Annual Debt financing</w:t>
            </w:r>
          </w:p>
        </w:tc>
        <w:tc>
          <w:tcPr>
            <w:tcW w:w="1729" w:type="dxa"/>
          </w:tcPr>
          <w:p w14:paraId="63EDB629" w14:textId="0DB9D7A9" w:rsidR="00D81546" w:rsidRPr="002F5A39" w:rsidRDefault="002F5A39" w:rsidP="00D54DAF">
            <w:pPr>
              <w:jc w:val="center"/>
            </w:pPr>
            <w:r w:rsidRPr="002F5A39">
              <w:t>£</w:t>
            </w:r>
            <w:r w:rsidR="001A2245">
              <w:t>6.21</w:t>
            </w:r>
            <w:r w:rsidRPr="002F5A39">
              <w:t xml:space="preserve"> million</w:t>
            </w:r>
          </w:p>
        </w:tc>
      </w:tr>
      <w:tr w:rsidR="00D81546" w:rsidRPr="00552CEE" w14:paraId="72D9F277" w14:textId="77777777" w:rsidTr="00F503C4">
        <w:trPr>
          <w:jc w:val="center"/>
        </w:trPr>
        <w:tc>
          <w:tcPr>
            <w:tcW w:w="3828" w:type="dxa"/>
            <w:vAlign w:val="bottom"/>
          </w:tcPr>
          <w:p w14:paraId="48EC544C" w14:textId="77777777" w:rsidR="00D81546" w:rsidRDefault="00D81546" w:rsidP="00D54DAF"/>
        </w:tc>
        <w:tc>
          <w:tcPr>
            <w:tcW w:w="1729" w:type="dxa"/>
          </w:tcPr>
          <w:p w14:paraId="2D6ABCCE" w14:textId="77777777" w:rsidR="00D81546" w:rsidRPr="00552CEE" w:rsidRDefault="00D81546" w:rsidP="00D54DAF">
            <w:pPr>
              <w:jc w:val="center"/>
            </w:pPr>
          </w:p>
        </w:tc>
      </w:tr>
      <w:tr w:rsidR="00D81546" w:rsidRPr="00552CEE" w14:paraId="2D437EE8" w14:textId="77777777" w:rsidTr="00F503C4">
        <w:trPr>
          <w:jc w:val="center"/>
        </w:trPr>
        <w:tc>
          <w:tcPr>
            <w:tcW w:w="3828" w:type="dxa"/>
            <w:vAlign w:val="bottom"/>
          </w:tcPr>
          <w:p w14:paraId="486E2B88" w14:textId="77777777" w:rsidR="00D81546" w:rsidRPr="00552CEE" w:rsidRDefault="00D81546" w:rsidP="00D54DAF">
            <w:r w:rsidRPr="00552CEE">
              <w:t>Annual Revenue (CfD period)</w:t>
            </w:r>
          </w:p>
        </w:tc>
        <w:tc>
          <w:tcPr>
            <w:tcW w:w="1729" w:type="dxa"/>
          </w:tcPr>
          <w:p w14:paraId="4588D440" w14:textId="77777777" w:rsidR="00D81546" w:rsidRPr="00552CEE" w:rsidRDefault="00D81546" w:rsidP="00D54DAF">
            <w:pPr>
              <w:jc w:val="center"/>
            </w:pPr>
            <w:r w:rsidRPr="00552CEE">
              <w:t>£12.1 million</w:t>
            </w:r>
          </w:p>
        </w:tc>
      </w:tr>
    </w:tbl>
    <w:p w14:paraId="048DB1B1" w14:textId="77777777" w:rsidR="00D81546" w:rsidRPr="00552CEE" w:rsidRDefault="00D81546" w:rsidP="00460E42"/>
    <w:p w14:paraId="172E84BA" w14:textId="77777777" w:rsidR="00591300" w:rsidRPr="00552CEE" w:rsidRDefault="00591300" w:rsidP="00591300">
      <w:pPr>
        <w:pStyle w:val="Heading2"/>
      </w:pPr>
      <w:r w:rsidRPr="00552CEE">
        <w:t>Share ownership perspective</w:t>
      </w:r>
    </w:p>
    <w:p w14:paraId="6EA68B77" w14:textId="5A8E220C" w:rsidR="00591300" w:rsidRPr="00552CEE" w:rsidRDefault="00591300" w:rsidP="00591300">
      <w:pPr>
        <w:pStyle w:val="Heading3"/>
      </w:pPr>
      <w:r w:rsidRPr="00552CEE">
        <w:t xml:space="preserve">Valuation </w:t>
      </w:r>
    </w:p>
    <w:p w14:paraId="03789424" w14:textId="32F0CA50" w:rsidR="007E74D2" w:rsidRPr="00552CEE" w:rsidRDefault="007E74D2" w:rsidP="007E74D2">
      <w:r w:rsidRPr="00552CEE">
        <w:t>From a shared ownership perspective, the valuation of a stake at Commercial Operation Date (COD) differs depending on the financing structure of the underlying project.</w:t>
      </w:r>
    </w:p>
    <w:p w14:paraId="43D7DF8D" w14:textId="5A10FE2B" w:rsidR="007E74D2" w:rsidRPr="00552CEE" w:rsidRDefault="007E74D2" w:rsidP="007E74D2">
      <w:r w:rsidRPr="00552CEE">
        <w:t xml:space="preserve">A 10% </w:t>
      </w:r>
      <w:r w:rsidR="00056782">
        <w:t xml:space="preserve">balance sheet </w:t>
      </w:r>
      <w:r w:rsidRPr="00552CEE">
        <w:t>ownership stake in an asset with no project-level debt, valued using an 8% discount rate, results in a valuation of £9.1 million.</w:t>
      </w:r>
    </w:p>
    <w:p w14:paraId="4BA80016" w14:textId="77777777" w:rsidR="007E74D2" w:rsidRPr="00552CEE" w:rsidRDefault="007E74D2" w:rsidP="007E74D2">
      <w:r w:rsidRPr="00552CEE">
        <w:t>By contrast, a 20% stake in the special purpose vehicle (SPV) of a project-financed wind farm, with 70% debt financing at a 6% commercial interest rate, results in a lower valuation of £7.2 million.</w:t>
      </w:r>
    </w:p>
    <w:p w14:paraId="4B24074C" w14:textId="41CC3E02" w:rsidR="00591300" w:rsidRPr="00552CEE" w:rsidRDefault="00591300" w:rsidP="00591300">
      <w:pPr>
        <w:pStyle w:val="Heading2"/>
      </w:pPr>
      <w:r w:rsidRPr="00552CEE">
        <w:t xml:space="preserve">Shared Ownership cash flows – </w:t>
      </w:r>
      <w:r w:rsidR="00BD2FFF">
        <w:t xml:space="preserve">balance sheet </w:t>
      </w:r>
      <w:r w:rsidRPr="00552CEE">
        <w:t>ownership</w:t>
      </w:r>
    </w:p>
    <w:p w14:paraId="4038DD47" w14:textId="01D79720" w:rsidR="00591300" w:rsidRPr="00552CEE" w:rsidRDefault="007E74D2" w:rsidP="00591300">
      <w:r w:rsidRPr="00552CEE">
        <w:fldChar w:fldCharType="begin"/>
      </w:r>
      <w:r w:rsidRPr="00552CEE">
        <w:instrText xml:space="preserve"> REF _Ref225974311 \h </w:instrText>
      </w:r>
      <w:r w:rsidRPr="00552CEE">
        <w:fldChar w:fldCharType="separate"/>
      </w:r>
      <w:r w:rsidR="00BA359F" w:rsidRPr="00552CEE">
        <w:t xml:space="preserve">Table </w:t>
      </w:r>
      <w:r w:rsidR="00BA359F">
        <w:rPr>
          <w:noProof/>
        </w:rPr>
        <w:t>20</w:t>
      </w:r>
      <w:r w:rsidRPr="00552CEE">
        <w:fldChar w:fldCharType="end"/>
      </w:r>
      <w:r w:rsidRPr="00552CEE">
        <w:t xml:space="preserve"> </w:t>
      </w:r>
      <w:r w:rsidR="00591300" w:rsidRPr="00552CEE">
        <w:t>shows undiscounted cash flows in three illustrative years:</w:t>
      </w:r>
    </w:p>
    <w:p w14:paraId="608DD17F" w14:textId="77777777" w:rsidR="00591300" w:rsidRPr="00552CEE" w:rsidRDefault="00591300" w:rsidP="00591300">
      <w:pPr>
        <w:pStyle w:val="ListParagraph"/>
        <w:numPr>
          <w:ilvl w:val="0"/>
          <w:numId w:val="10"/>
        </w:numPr>
      </w:pPr>
      <w:r w:rsidRPr="00552CEE">
        <w:rPr>
          <w:b/>
          <w:bCs/>
        </w:rPr>
        <w:t>2030:</w:t>
      </w:r>
      <w:r w:rsidRPr="00552CEE">
        <w:t xml:space="preserve"> the CfD period with public sector loan.</w:t>
      </w:r>
    </w:p>
    <w:p w14:paraId="3BAAD3C6" w14:textId="77777777" w:rsidR="00591300" w:rsidRPr="00552CEE" w:rsidRDefault="00591300" w:rsidP="00591300">
      <w:pPr>
        <w:pStyle w:val="ListParagraph"/>
        <w:numPr>
          <w:ilvl w:val="0"/>
          <w:numId w:val="10"/>
        </w:numPr>
      </w:pPr>
      <w:r w:rsidRPr="00552CEE">
        <w:rPr>
          <w:b/>
          <w:bCs/>
        </w:rPr>
        <w:t>2043:</w:t>
      </w:r>
      <w:r w:rsidRPr="00552CEE">
        <w:t xml:space="preserve"> the merchant tail period, but still within the public sector loan period.</w:t>
      </w:r>
    </w:p>
    <w:p w14:paraId="238B1638" w14:textId="77777777" w:rsidR="00591300" w:rsidRPr="00552CEE" w:rsidRDefault="00591300" w:rsidP="00591300">
      <w:pPr>
        <w:pStyle w:val="ListParagraph"/>
        <w:numPr>
          <w:ilvl w:val="0"/>
          <w:numId w:val="10"/>
        </w:numPr>
      </w:pPr>
      <w:r w:rsidRPr="00552CEE">
        <w:rPr>
          <w:b/>
          <w:bCs/>
        </w:rPr>
        <w:t>2048:</w:t>
      </w:r>
      <w:r w:rsidRPr="00552CEE">
        <w:t xml:space="preserve"> the merchant tail period following the end of the public sector loan.</w:t>
      </w:r>
    </w:p>
    <w:p w14:paraId="29E01A2B" w14:textId="28B91B11" w:rsidR="00591300" w:rsidRPr="00552CEE" w:rsidRDefault="008D1E23" w:rsidP="008D1E23">
      <w:r w:rsidRPr="00552CEE">
        <w:t>The balance sheet case delivers relatively stable project-level cash flows, but the requirement to service the public sector loan significantly reduces income to the SO organisation in early and mid-project years. While income is positive during the CfD period, it becomes marginally negative in the early merchant phase (2043), highlighting the pressure created by lower revenues combined with ongoing debt servicing. Once the loan is repaid, income improves materially, indicating that value is ultimately delivered but is backloaded over the project lifetime.</w:t>
      </w:r>
    </w:p>
    <w:p w14:paraId="1558A377" w14:textId="665E989C" w:rsidR="00591300" w:rsidRPr="00552CEE" w:rsidRDefault="00591300" w:rsidP="00591300">
      <w:pPr>
        <w:pStyle w:val="Caption"/>
        <w:keepNext/>
        <w:jc w:val="center"/>
      </w:pPr>
      <w:bookmarkStart w:id="10" w:name="_Ref225974311"/>
      <w:r w:rsidRPr="00552CEE">
        <w:lastRenderedPageBreak/>
        <w:t xml:space="preserve">Table </w:t>
      </w:r>
      <w:fldSimple w:instr=" SEQ Table \* ARABIC ">
        <w:r w:rsidR="00BA359F">
          <w:rPr>
            <w:noProof/>
          </w:rPr>
          <w:t>20</w:t>
        </w:r>
      </w:fldSimple>
      <w:bookmarkEnd w:id="10"/>
      <w:r w:rsidRPr="00552CEE">
        <w:t>: Cash flow waterfall for 1</w:t>
      </w:r>
      <w:r w:rsidR="009A4413" w:rsidRPr="00552CEE">
        <w:t>0</w:t>
      </w:r>
      <w:r w:rsidRPr="00552CEE">
        <w:t xml:space="preserve">% equity stake in commercial balance sheet </w:t>
      </w:r>
      <w:r w:rsidR="009A4413" w:rsidRPr="00552CEE">
        <w:t xml:space="preserve">onshore </w:t>
      </w:r>
      <w:r w:rsidRPr="00552CEE">
        <w:t>project under basecase</w:t>
      </w:r>
      <w:r w:rsidR="009A4413" w:rsidRPr="00552CEE">
        <w:t xml:space="preserve"> assumptions</w:t>
      </w:r>
      <w:r w:rsidRPr="00552CEE">
        <w:t>. Results given in three years (2030: CfD period + public sector debt; 2043: merchant tail + public sector debt; 2048: merchant tail + no debt)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6"/>
        <w:gridCol w:w="45"/>
        <w:gridCol w:w="1431"/>
        <w:gridCol w:w="35"/>
        <w:gridCol w:w="1441"/>
        <w:gridCol w:w="25"/>
        <w:gridCol w:w="1452"/>
        <w:gridCol w:w="15"/>
        <w:gridCol w:w="1346"/>
      </w:tblGrid>
      <w:tr w:rsidR="00625C0B" w:rsidRPr="00552CEE" w14:paraId="653D52B6" w14:textId="3BE47AF2" w:rsidTr="00625C0B">
        <w:tc>
          <w:tcPr>
            <w:tcW w:w="3236" w:type="dxa"/>
            <w:shd w:val="clear" w:color="auto" w:fill="D0CECE" w:themeFill="background2" w:themeFillShade="E6"/>
          </w:tcPr>
          <w:p w14:paraId="0483B66B" w14:textId="77777777" w:rsidR="00625C0B" w:rsidRPr="00552CEE" w:rsidRDefault="00625C0B" w:rsidP="0069273B">
            <w:pPr>
              <w:rPr>
                <w:i/>
                <w:iCs/>
              </w:rPr>
            </w:pPr>
            <w:r w:rsidRPr="00552CEE">
              <w:rPr>
                <w:i/>
                <w:iCs/>
                <w:sz w:val="20"/>
                <w:szCs w:val="20"/>
              </w:rPr>
              <w:t>Values in £million (2025, real, undiscounted)</w:t>
            </w:r>
          </w:p>
        </w:tc>
        <w:tc>
          <w:tcPr>
            <w:tcW w:w="1476" w:type="dxa"/>
            <w:gridSpan w:val="2"/>
            <w:shd w:val="clear" w:color="auto" w:fill="D0CECE" w:themeFill="background2" w:themeFillShade="E6"/>
          </w:tcPr>
          <w:p w14:paraId="4BF9E476" w14:textId="77777777" w:rsidR="00625C0B" w:rsidRPr="00552CEE" w:rsidRDefault="00625C0B" w:rsidP="0069273B">
            <w:pPr>
              <w:jc w:val="center"/>
            </w:pPr>
            <w:r w:rsidRPr="00552CEE">
              <w:t>2030</w:t>
            </w:r>
          </w:p>
        </w:tc>
        <w:tc>
          <w:tcPr>
            <w:tcW w:w="1476" w:type="dxa"/>
            <w:gridSpan w:val="2"/>
            <w:shd w:val="clear" w:color="auto" w:fill="D0CECE" w:themeFill="background2" w:themeFillShade="E6"/>
          </w:tcPr>
          <w:p w14:paraId="4CBE688B" w14:textId="77777777" w:rsidR="00625C0B" w:rsidRPr="00552CEE" w:rsidRDefault="00625C0B" w:rsidP="0069273B">
            <w:pPr>
              <w:jc w:val="center"/>
            </w:pPr>
            <w:r w:rsidRPr="00552CEE">
              <w:t>2043</w:t>
            </w:r>
          </w:p>
        </w:tc>
        <w:tc>
          <w:tcPr>
            <w:tcW w:w="1477" w:type="dxa"/>
            <w:gridSpan w:val="2"/>
            <w:shd w:val="clear" w:color="auto" w:fill="D0CECE" w:themeFill="background2" w:themeFillShade="E6"/>
          </w:tcPr>
          <w:p w14:paraId="3FBD88FE" w14:textId="77777777" w:rsidR="00625C0B" w:rsidRPr="00552CEE" w:rsidRDefault="00625C0B" w:rsidP="0069273B">
            <w:pPr>
              <w:jc w:val="center"/>
            </w:pPr>
            <w:r w:rsidRPr="00552CEE">
              <w:t>2048</w:t>
            </w:r>
          </w:p>
        </w:tc>
        <w:tc>
          <w:tcPr>
            <w:tcW w:w="1361" w:type="dxa"/>
            <w:gridSpan w:val="2"/>
            <w:shd w:val="clear" w:color="auto" w:fill="D0CECE" w:themeFill="background2" w:themeFillShade="E6"/>
          </w:tcPr>
          <w:p w14:paraId="474D5BF9" w14:textId="0FB12C54" w:rsidR="00625C0B" w:rsidRPr="00552CEE" w:rsidRDefault="00625C0B" w:rsidP="0069273B">
            <w:pPr>
              <w:jc w:val="center"/>
            </w:pPr>
            <w:r>
              <w:t>2028 - 58</w:t>
            </w:r>
          </w:p>
        </w:tc>
      </w:tr>
      <w:tr w:rsidR="00625C0B" w:rsidRPr="00552CEE" w14:paraId="028AEE85" w14:textId="7DCE32EC" w:rsidTr="00625C0B">
        <w:tc>
          <w:tcPr>
            <w:tcW w:w="3236" w:type="dxa"/>
          </w:tcPr>
          <w:p w14:paraId="7C9AF32B" w14:textId="607AF46D" w:rsidR="00625C0B" w:rsidRPr="00552CEE" w:rsidRDefault="00625C0B" w:rsidP="0069273B">
            <w:r w:rsidRPr="00552CEE">
              <w:t xml:space="preserve">Upfront stake: £9.1 million </w:t>
            </w:r>
          </w:p>
          <w:p w14:paraId="5F6FBDC4" w14:textId="67FFE425" w:rsidR="00625C0B" w:rsidRPr="00552CEE" w:rsidRDefault="00625C0B" w:rsidP="0069273B">
            <w:r w:rsidRPr="00552CEE">
              <w:t>(10% of physical project)</w:t>
            </w:r>
          </w:p>
        </w:tc>
        <w:tc>
          <w:tcPr>
            <w:tcW w:w="1476" w:type="dxa"/>
            <w:gridSpan w:val="2"/>
          </w:tcPr>
          <w:p w14:paraId="5CCFFFDD" w14:textId="77777777" w:rsidR="00625C0B" w:rsidRPr="00552CEE" w:rsidRDefault="00625C0B" w:rsidP="0069273B">
            <w:pPr>
              <w:jc w:val="center"/>
            </w:pPr>
          </w:p>
        </w:tc>
        <w:tc>
          <w:tcPr>
            <w:tcW w:w="1476" w:type="dxa"/>
            <w:gridSpan w:val="2"/>
          </w:tcPr>
          <w:p w14:paraId="32979E33" w14:textId="77777777" w:rsidR="00625C0B" w:rsidRPr="00552CEE" w:rsidRDefault="00625C0B" w:rsidP="0069273B">
            <w:pPr>
              <w:jc w:val="center"/>
            </w:pPr>
          </w:p>
        </w:tc>
        <w:tc>
          <w:tcPr>
            <w:tcW w:w="1477" w:type="dxa"/>
            <w:gridSpan w:val="2"/>
          </w:tcPr>
          <w:p w14:paraId="7D9CC6FE" w14:textId="77777777" w:rsidR="00625C0B" w:rsidRPr="00552CEE" w:rsidRDefault="00625C0B" w:rsidP="0069273B">
            <w:pPr>
              <w:jc w:val="center"/>
            </w:pPr>
          </w:p>
        </w:tc>
        <w:tc>
          <w:tcPr>
            <w:tcW w:w="1361" w:type="dxa"/>
            <w:gridSpan w:val="2"/>
          </w:tcPr>
          <w:p w14:paraId="6A849546" w14:textId="77777777" w:rsidR="00625C0B" w:rsidRPr="00552CEE" w:rsidRDefault="00625C0B" w:rsidP="0069273B">
            <w:pPr>
              <w:jc w:val="center"/>
            </w:pPr>
          </w:p>
        </w:tc>
      </w:tr>
      <w:tr w:rsidR="00625C0B" w:rsidRPr="00552CEE" w14:paraId="4A74240D" w14:textId="7B5F7CE9" w:rsidTr="00625C0B">
        <w:tc>
          <w:tcPr>
            <w:tcW w:w="3236" w:type="dxa"/>
            <w:vAlign w:val="bottom"/>
          </w:tcPr>
          <w:p w14:paraId="26ED1BB1" w14:textId="77777777" w:rsidR="00625C0B" w:rsidRPr="00552CEE" w:rsidRDefault="00625C0B" w:rsidP="009A4413">
            <w:r w:rsidRPr="00552CEE">
              <w:t>Revenue</w:t>
            </w:r>
          </w:p>
        </w:tc>
        <w:tc>
          <w:tcPr>
            <w:tcW w:w="1476" w:type="dxa"/>
            <w:gridSpan w:val="2"/>
          </w:tcPr>
          <w:p w14:paraId="714C11B1" w14:textId="3BD99157" w:rsidR="00625C0B" w:rsidRPr="00552CEE" w:rsidRDefault="00625C0B" w:rsidP="009A4413">
            <w:pPr>
              <w:jc w:val="center"/>
            </w:pPr>
            <w:r w:rsidRPr="00552CEE">
              <w:t>1.20</w:t>
            </w:r>
          </w:p>
        </w:tc>
        <w:tc>
          <w:tcPr>
            <w:tcW w:w="1476" w:type="dxa"/>
            <w:gridSpan w:val="2"/>
          </w:tcPr>
          <w:p w14:paraId="0E4FB395" w14:textId="1737012D" w:rsidR="00625C0B" w:rsidRPr="00552CEE" w:rsidRDefault="00625C0B" w:rsidP="009A4413">
            <w:pPr>
              <w:jc w:val="center"/>
            </w:pPr>
            <w:r w:rsidRPr="00552CEE">
              <w:t>0.90</w:t>
            </w:r>
          </w:p>
        </w:tc>
        <w:tc>
          <w:tcPr>
            <w:tcW w:w="1477" w:type="dxa"/>
            <w:gridSpan w:val="2"/>
          </w:tcPr>
          <w:p w14:paraId="22A90D68" w14:textId="6B0BAE02" w:rsidR="00625C0B" w:rsidRPr="00552CEE" w:rsidRDefault="00625C0B" w:rsidP="009A4413">
            <w:pPr>
              <w:jc w:val="center"/>
            </w:pPr>
            <w:r w:rsidRPr="00552CEE">
              <w:t>0.90</w:t>
            </w:r>
          </w:p>
        </w:tc>
        <w:tc>
          <w:tcPr>
            <w:tcW w:w="1361" w:type="dxa"/>
            <w:gridSpan w:val="2"/>
          </w:tcPr>
          <w:p w14:paraId="1947F8B9" w14:textId="77777777" w:rsidR="00625C0B" w:rsidRPr="00552CEE" w:rsidRDefault="00625C0B" w:rsidP="009A4413">
            <w:pPr>
              <w:jc w:val="center"/>
            </w:pPr>
          </w:p>
        </w:tc>
      </w:tr>
      <w:tr w:rsidR="00625C0B" w:rsidRPr="00552CEE" w14:paraId="536E62E9" w14:textId="791D9144" w:rsidTr="00625C0B">
        <w:tc>
          <w:tcPr>
            <w:tcW w:w="3236" w:type="dxa"/>
            <w:vAlign w:val="bottom"/>
          </w:tcPr>
          <w:p w14:paraId="6497D552" w14:textId="77777777" w:rsidR="00625C0B" w:rsidRPr="00552CEE" w:rsidRDefault="00625C0B" w:rsidP="009A4413">
            <w:r w:rsidRPr="00552CEE">
              <w:t>Operating Costs</w:t>
            </w:r>
          </w:p>
        </w:tc>
        <w:tc>
          <w:tcPr>
            <w:tcW w:w="1476" w:type="dxa"/>
            <w:gridSpan w:val="2"/>
          </w:tcPr>
          <w:p w14:paraId="2FDF9962" w14:textId="64BE03EA" w:rsidR="00625C0B" w:rsidRPr="00552CEE" w:rsidRDefault="00625C0B" w:rsidP="009A4413">
            <w:pPr>
              <w:jc w:val="center"/>
            </w:pPr>
            <w:r w:rsidRPr="00552CEE">
              <w:t>0.34</w:t>
            </w:r>
          </w:p>
        </w:tc>
        <w:tc>
          <w:tcPr>
            <w:tcW w:w="1476" w:type="dxa"/>
            <w:gridSpan w:val="2"/>
          </w:tcPr>
          <w:p w14:paraId="300C2257" w14:textId="39EBEEA6" w:rsidR="00625C0B" w:rsidRPr="00552CEE" w:rsidRDefault="00625C0B" w:rsidP="009A4413">
            <w:pPr>
              <w:jc w:val="center"/>
            </w:pPr>
            <w:r w:rsidRPr="00552CEE">
              <w:t>0.35</w:t>
            </w:r>
          </w:p>
        </w:tc>
        <w:tc>
          <w:tcPr>
            <w:tcW w:w="1477" w:type="dxa"/>
            <w:gridSpan w:val="2"/>
          </w:tcPr>
          <w:p w14:paraId="5C8E1FFF" w14:textId="48BC16A0" w:rsidR="00625C0B" w:rsidRPr="00552CEE" w:rsidRDefault="00625C0B" w:rsidP="009A4413">
            <w:pPr>
              <w:jc w:val="center"/>
            </w:pPr>
            <w:r w:rsidRPr="00552CEE">
              <w:t>0.35</w:t>
            </w:r>
          </w:p>
        </w:tc>
        <w:tc>
          <w:tcPr>
            <w:tcW w:w="1361" w:type="dxa"/>
            <w:gridSpan w:val="2"/>
          </w:tcPr>
          <w:p w14:paraId="7E5AE984" w14:textId="77777777" w:rsidR="00625C0B" w:rsidRPr="00552CEE" w:rsidRDefault="00625C0B" w:rsidP="009A4413">
            <w:pPr>
              <w:jc w:val="center"/>
            </w:pPr>
          </w:p>
        </w:tc>
      </w:tr>
      <w:tr w:rsidR="00625C0B" w:rsidRPr="00552CEE" w14:paraId="1902ABAE" w14:textId="00BD6B10" w:rsidTr="00625C0B">
        <w:tc>
          <w:tcPr>
            <w:tcW w:w="3236" w:type="dxa"/>
            <w:vAlign w:val="bottom"/>
          </w:tcPr>
          <w:p w14:paraId="4CD5665A" w14:textId="77777777" w:rsidR="00625C0B" w:rsidRPr="00552CEE" w:rsidRDefault="00625C0B" w:rsidP="009A4413">
            <w:pPr>
              <w:rPr>
                <w:color w:val="BFBFBF" w:themeColor="background1" w:themeShade="BF"/>
              </w:rPr>
            </w:pPr>
            <w:r w:rsidRPr="00552CEE">
              <w:rPr>
                <w:color w:val="BFBFBF" w:themeColor="background1" w:themeShade="BF"/>
              </w:rPr>
              <w:t>Commercial debt servicing</w:t>
            </w:r>
          </w:p>
        </w:tc>
        <w:tc>
          <w:tcPr>
            <w:tcW w:w="1476" w:type="dxa"/>
            <w:gridSpan w:val="2"/>
          </w:tcPr>
          <w:p w14:paraId="31C45F24" w14:textId="5384833C" w:rsidR="00625C0B" w:rsidRPr="00552CEE" w:rsidRDefault="00625C0B" w:rsidP="009A4413">
            <w:pPr>
              <w:jc w:val="center"/>
              <w:rPr>
                <w:color w:val="BFBFBF" w:themeColor="background1" w:themeShade="BF"/>
              </w:rPr>
            </w:pPr>
            <w:r w:rsidRPr="00552CEE">
              <w:rPr>
                <w:color w:val="BFBFBF" w:themeColor="background1" w:themeShade="BF"/>
              </w:rPr>
              <w:t>0.00</w:t>
            </w:r>
          </w:p>
        </w:tc>
        <w:tc>
          <w:tcPr>
            <w:tcW w:w="1476" w:type="dxa"/>
            <w:gridSpan w:val="2"/>
          </w:tcPr>
          <w:p w14:paraId="5582B6C0" w14:textId="5555AE29" w:rsidR="00625C0B" w:rsidRPr="00552CEE" w:rsidRDefault="00625C0B" w:rsidP="009A4413">
            <w:pPr>
              <w:jc w:val="center"/>
              <w:rPr>
                <w:color w:val="BFBFBF" w:themeColor="background1" w:themeShade="BF"/>
              </w:rPr>
            </w:pPr>
            <w:r w:rsidRPr="00552CEE">
              <w:rPr>
                <w:color w:val="BFBFBF" w:themeColor="background1" w:themeShade="BF"/>
              </w:rPr>
              <w:t>0.00</w:t>
            </w:r>
          </w:p>
        </w:tc>
        <w:tc>
          <w:tcPr>
            <w:tcW w:w="1477" w:type="dxa"/>
            <w:gridSpan w:val="2"/>
          </w:tcPr>
          <w:p w14:paraId="12A9D951" w14:textId="58CF0754" w:rsidR="00625C0B" w:rsidRPr="00552CEE" w:rsidRDefault="00625C0B" w:rsidP="009A4413">
            <w:pPr>
              <w:jc w:val="center"/>
              <w:rPr>
                <w:color w:val="BFBFBF" w:themeColor="background1" w:themeShade="BF"/>
              </w:rPr>
            </w:pPr>
            <w:r w:rsidRPr="00552CEE">
              <w:rPr>
                <w:color w:val="BFBFBF" w:themeColor="background1" w:themeShade="BF"/>
              </w:rPr>
              <w:t>0.00</w:t>
            </w:r>
          </w:p>
        </w:tc>
        <w:tc>
          <w:tcPr>
            <w:tcW w:w="1361" w:type="dxa"/>
            <w:gridSpan w:val="2"/>
          </w:tcPr>
          <w:p w14:paraId="7DC0ECE5" w14:textId="77777777" w:rsidR="00625C0B" w:rsidRPr="00552CEE" w:rsidRDefault="00625C0B" w:rsidP="009A4413">
            <w:pPr>
              <w:jc w:val="center"/>
              <w:rPr>
                <w:color w:val="BFBFBF" w:themeColor="background1" w:themeShade="BF"/>
              </w:rPr>
            </w:pPr>
          </w:p>
        </w:tc>
      </w:tr>
      <w:tr w:rsidR="00625C0B" w:rsidRPr="00552CEE" w14:paraId="1FE4D504" w14:textId="6D4D1436" w:rsidTr="00625C0B">
        <w:tc>
          <w:tcPr>
            <w:tcW w:w="3236" w:type="dxa"/>
            <w:vAlign w:val="bottom"/>
          </w:tcPr>
          <w:p w14:paraId="1680EEFB" w14:textId="77777777" w:rsidR="00625C0B" w:rsidRPr="00552CEE" w:rsidRDefault="00625C0B" w:rsidP="009A4413">
            <w:r w:rsidRPr="00552CEE">
              <w:t>Cash flow from project to SO</w:t>
            </w:r>
          </w:p>
        </w:tc>
        <w:tc>
          <w:tcPr>
            <w:tcW w:w="1476" w:type="dxa"/>
            <w:gridSpan w:val="2"/>
          </w:tcPr>
          <w:p w14:paraId="6B5CD292" w14:textId="04E0AD0C" w:rsidR="00625C0B" w:rsidRPr="00552CEE" w:rsidRDefault="00625C0B" w:rsidP="009A4413">
            <w:pPr>
              <w:jc w:val="center"/>
            </w:pPr>
            <w:r w:rsidRPr="00552CEE">
              <w:t>0.86</w:t>
            </w:r>
          </w:p>
        </w:tc>
        <w:tc>
          <w:tcPr>
            <w:tcW w:w="1476" w:type="dxa"/>
            <w:gridSpan w:val="2"/>
          </w:tcPr>
          <w:p w14:paraId="63071E80" w14:textId="5BD3ADC7" w:rsidR="00625C0B" w:rsidRPr="00552CEE" w:rsidRDefault="00625C0B" w:rsidP="009A4413">
            <w:pPr>
              <w:jc w:val="center"/>
            </w:pPr>
            <w:r w:rsidRPr="00552CEE">
              <w:t>0.54</w:t>
            </w:r>
          </w:p>
        </w:tc>
        <w:tc>
          <w:tcPr>
            <w:tcW w:w="1477" w:type="dxa"/>
            <w:gridSpan w:val="2"/>
          </w:tcPr>
          <w:p w14:paraId="232A1142" w14:textId="436AAAFD" w:rsidR="00625C0B" w:rsidRPr="00552CEE" w:rsidRDefault="00625C0B" w:rsidP="009A4413">
            <w:pPr>
              <w:jc w:val="center"/>
            </w:pPr>
            <w:r w:rsidRPr="00552CEE">
              <w:t>0.54</w:t>
            </w:r>
          </w:p>
        </w:tc>
        <w:tc>
          <w:tcPr>
            <w:tcW w:w="1361" w:type="dxa"/>
            <w:gridSpan w:val="2"/>
          </w:tcPr>
          <w:p w14:paraId="410D4D22" w14:textId="77777777" w:rsidR="00625C0B" w:rsidRPr="00552CEE" w:rsidRDefault="00625C0B" w:rsidP="009A4413">
            <w:pPr>
              <w:jc w:val="center"/>
            </w:pPr>
          </w:p>
        </w:tc>
      </w:tr>
      <w:tr w:rsidR="00625C0B" w:rsidRPr="00552CEE" w14:paraId="5F8AC6B8" w14:textId="3654F262" w:rsidTr="00625C0B">
        <w:tc>
          <w:tcPr>
            <w:tcW w:w="3236" w:type="dxa"/>
            <w:vAlign w:val="bottom"/>
          </w:tcPr>
          <w:p w14:paraId="28CCAB3C" w14:textId="77777777" w:rsidR="00625C0B" w:rsidRPr="00552CEE" w:rsidRDefault="00625C0B" w:rsidP="009A4413">
            <w:r w:rsidRPr="00552CEE">
              <w:t>Public Sector loan servicing</w:t>
            </w:r>
          </w:p>
        </w:tc>
        <w:tc>
          <w:tcPr>
            <w:tcW w:w="1476" w:type="dxa"/>
            <w:gridSpan w:val="2"/>
          </w:tcPr>
          <w:p w14:paraId="4ED1D9CA" w14:textId="07E53E69" w:rsidR="00625C0B" w:rsidRPr="00552CEE" w:rsidRDefault="00625C0B" w:rsidP="009A4413">
            <w:pPr>
              <w:jc w:val="center"/>
            </w:pPr>
            <w:r w:rsidRPr="00552CEE">
              <w:t>0.56</w:t>
            </w:r>
          </w:p>
        </w:tc>
        <w:tc>
          <w:tcPr>
            <w:tcW w:w="1476" w:type="dxa"/>
            <w:gridSpan w:val="2"/>
          </w:tcPr>
          <w:p w14:paraId="639CEEAD" w14:textId="622695E1" w:rsidR="00625C0B" w:rsidRPr="00552CEE" w:rsidRDefault="00625C0B" w:rsidP="009A4413">
            <w:pPr>
              <w:jc w:val="center"/>
            </w:pPr>
            <w:r w:rsidRPr="00552CEE">
              <w:t>0.56</w:t>
            </w:r>
          </w:p>
        </w:tc>
        <w:tc>
          <w:tcPr>
            <w:tcW w:w="1477" w:type="dxa"/>
            <w:gridSpan w:val="2"/>
          </w:tcPr>
          <w:p w14:paraId="167D49F4" w14:textId="1D3E6520" w:rsidR="00625C0B" w:rsidRPr="00552CEE" w:rsidRDefault="00625C0B" w:rsidP="009A4413">
            <w:pPr>
              <w:jc w:val="center"/>
            </w:pPr>
            <w:r w:rsidRPr="00552CEE">
              <w:t>0.00</w:t>
            </w:r>
          </w:p>
        </w:tc>
        <w:tc>
          <w:tcPr>
            <w:tcW w:w="1361" w:type="dxa"/>
            <w:gridSpan w:val="2"/>
          </w:tcPr>
          <w:p w14:paraId="73E37C0E" w14:textId="77777777" w:rsidR="00625C0B" w:rsidRPr="00552CEE" w:rsidRDefault="00625C0B" w:rsidP="009A4413">
            <w:pPr>
              <w:jc w:val="center"/>
            </w:pPr>
          </w:p>
        </w:tc>
      </w:tr>
      <w:tr w:rsidR="00625C0B" w:rsidRPr="00552CEE" w14:paraId="0025D0C7" w14:textId="791B18D9" w:rsidTr="00625C0B">
        <w:tc>
          <w:tcPr>
            <w:tcW w:w="3236" w:type="dxa"/>
            <w:vAlign w:val="bottom"/>
          </w:tcPr>
          <w:p w14:paraId="69F659B5" w14:textId="77777777" w:rsidR="00625C0B" w:rsidRPr="00552CEE" w:rsidRDefault="00625C0B" w:rsidP="009A4413">
            <w:r w:rsidRPr="00552CEE">
              <w:t>Final SO income</w:t>
            </w:r>
          </w:p>
        </w:tc>
        <w:tc>
          <w:tcPr>
            <w:tcW w:w="1476" w:type="dxa"/>
            <w:gridSpan w:val="2"/>
          </w:tcPr>
          <w:p w14:paraId="2ADC5EEE" w14:textId="6EB6BA5E" w:rsidR="00625C0B" w:rsidRPr="00552CEE" w:rsidRDefault="00625C0B" w:rsidP="009A4413">
            <w:pPr>
              <w:jc w:val="center"/>
            </w:pPr>
            <w:r w:rsidRPr="00552CEE">
              <w:t>0.30</w:t>
            </w:r>
          </w:p>
        </w:tc>
        <w:tc>
          <w:tcPr>
            <w:tcW w:w="1476" w:type="dxa"/>
            <w:gridSpan w:val="2"/>
          </w:tcPr>
          <w:p w14:paraId="633292B2" w14:textId="12F6E258" w:rsidR="00625C0B" w:rsidRPr="00552CEE" w:rsidRDefault="00625C0B" w:rsidP="009A4413">
            <w:pPr>
              <w:jc w:val="center"/>
            </w:pPr>
            <w:r w:rsidRPr="00552CEE">
              <w:rPr>
                <w:color w:val="C00000" w:themeColor="accent4"/>
              </w:rPr>
              <w:t>-0.01</w:t>
            </w:r>
          </w:p>
        </w:tc>
        <w:tc>
          <w:tcPr>
            <w:tcW w:w="1477" w:type="dxa"/>
            <w:gridSpan w:val="2"/>
          </w:tcPr>
          <w:p w14:paraId="2632A662" w14:textId="12394C78" w:rsidR="00625C0B" w:rsidRPr="00552CEE" w:rsidRDefault="00625C0B" w:rsidP="009A4413">
            <w:pPr>
              <w:jc w:val="center"/>
            </w:pPr>
            <w:r w:rsidRPr="00552CEE">
              <w:t>0.54</w:t>
            </w:r>
          </w:p>
        </w:tc>
        <w:tc>
          <w:tcPr>
            <w:tcW w:w="1361" w:type="dxa"/>
            <w:gridSpan w:val="2"/>
          </w:tcPr>
          <w:p w14:paraId="1F952F1A" w14:textId="77777777" w:rsidR="00625C0B" w:rsidRPr="00552CEE" w:rsidRDefault="00625C0B" w:rsidP="009A4413">
            <w:pPr>
              <w:jc w:val="center"/>
            </w:pPr>
          </w:p>
        </w:tc>
      </w:tr>
      <w:tr w:rsidR="00625C0B" w:rsidRPr="00552CEE" w14:paraId="0A844666" w14:textId="77777777" w:rsidTr="004E2AB3">
        <w:tc>
          <w:tcPr>
            <w:tcW w:w="3281" w:type="dxa"/>
            <w:gridSpan w:val="2"/>
            <w:vAlign w:val="bottom"/>
          </w:tcPr>
          <w:p w14:paraId="6DCD7D4F" w14:textId="77777777" w:rsidR="00625C0B" w:rsidRDefault="00625C0B" w:rsidP="00625C0B">
            <w:r>
              <w:t>Cumulative lifetime income</w:t>
            </w:r>
          </w:p>
          <w:p w14:paraId="2807CF72" w14:textId="7F4D1FE7" w:rsidR="00625C0B" w:rsidRPr="00552CEE" w:rsidRDefault="00625C0B" w:rsidP="00625C0B">
            <w:r>
              <w:t>(30 years, undiscounted)</w:t>
            </w:r>
          </w:p>
        </w:tc>
        <w:tc>
          <w:tcPr>
            <w:tcW w:w="1466" w:type="dxa"/>
            <w:gridSpan w:val="2"/>
          </w:tcPr>
          <w:p w14:paraId="4EADFFDC" w14:textId="77777777" w:rsidR="00625C0B" w:rsidRPr="00552CEE" w:rsidRDefault="00625C0B" w:rsidP="004E2AB3">
            <w:pPr>
              <w:jc w:val="center"/>
            </w:pPr>
          </w:p>
        </w:tc>
        <w:tc>
          <w:tcPr>
            <w:tcW w:w="1466" w:type="dxa"/>
            <w:gridSpan w:val="2"/>
          </w:tcPr>
          <w:p w14:paraId="043D84A6" w14:textId="77777777" w:rsidR="00625C0B" w:rsidRPr="00552CEE" w:rsidRDefault="00625C0B" w:rsidP="004E2AB3">
            <w:pPr>
              <w:jc w:val="center"/>
              <w:rPr>
                <w:color w:val="C00000" w:themeColor="accent4"/>
              </w:rPr>
            </w:pPr>
          </w:p>
        </w:tc>
        <w:tc>
          <w:tcPr>
            <w:tcW w:w="1467" w:type="dxa"/>
            <w:gridSpan w:val="2"/>
          </w:tcPr>
          <w:p w14:paraId="47169318" w14:textId="77777777" w:rsidR="00625C0B" w:rsidRPr="00552CEE" w:rsidRDefault="00625C0B" w:rsidP="004E2AB3">
            <w:pPr>
              <w:jc w:val="center"/>
            </w:pPr>
          </w:p>
        </w:tc>
        <w:tc>
          <w:tcPr>
            <w:tcW w:w="1346" w:type="dxa"/>
          </w:tcPr>
          <w:p w14:paraId="4815E1CD" w14:textId="4F936B72" w:rsidR="00625C0B" w:rsidRPr="00552CEE" w:rsidRDefault="00625C0B" w:rsidP="004E2AB3">
            <w:pPr>
              <w:jc w:val="center"/>
            </w:pPr>
            <w:r>
              <w:t>9.9</w:t>
            </w:r>
          </w:p>
        </w:tc>
      </w:tr>
    </w:tbl>
    <w:p w14:paraId="73AE6CD2" w14:textId="77777777" w:rsidR="00591300" w:rsidRPr="00552CEE" w:rsidRDefault="00591300" w:rsidP="00591300"/>
    <w:p w14:paraId="0591A582" w14:textId="77777777" w:rsidR="00591300" w:rsidRPr="00552CEE" w:rsidRDefault="00591300" w:rsidP="00591300">
      <w:pPr>
        <w:pStyle w:val="Heading2"/>
      </w:pPr>
      <w:r w:rsidRPr="00552CEE">
        <w:t xml:space="preserve">Shared ownership cash flows – project financed </w:t>
      </w:r>
    </w:p>
    <w:p w14:paraId="1C21DFBD" w14:textId="4A4D62F4" w:rsidR="00531C34" w:rsidRPr="00552CEE" w:rsidRDefault="00531C34" w:rsidP="00531C34">
      <w:r w:rsidRPr="00552CEE">
        <w:t xml:space="preserve">In the project-financed case, early SO income is significantly constrained, with only minimal returns during the CfD period due to the combined effect of commercial and public sector debt. However, once commercial debt is repaid, cash flows to </w:t>
      </w:r>
      <w:r w:rsidR="00EF15F6">
        <w:t xml:space="preserve">SO </w:t>
      </w:r>
      <w:r w:rsidRPr="00552CEE">
        <w:t xml:space="preserve">increase substantially, leading to much stronger SO income in the merchant phase. By the end of the project, with all debt repaid, the SO benefits from materially higher income, demonstrating how leverage can amplify long-term returns but </w:t>
      </w:r>
      <w:r w:rsidR="00EF15F6">
        <w:t xml:space="preserve">with the trade off that those returns are </w:t>
      </w:r>
      <w:r w:rsidRPr="00552CEE">
        <w:t>delay</w:t>
      </w:r>
      <w:r w:rsidR="00EF15F6">
        <w:t>ed</w:t>
      </w:r>
      <w:r w:rsidRPr="00552CEE">
        <w:t>.</w:t>
      </w:r>
    </w:p>
    <w:p w14:paraId="57EFF7D3" w14:textId="77777777" w:rsidR="008D1E23" w:rsidRPr="00552CEE" w:rsidRDefault="008D1E23" w:rsidP="00591300">
      <w:pPr>
        <w:pStyle w:val="Caption"/>
        <w:keepNext/>
      </w:pPr>
    </w:p>
    <w:p w14:paraId="4D89F366" w14:textId="27D210B3" w:rsidR="00591300" w:rsidRPr="00552CEE" w:rsidRDefault="00591300" w:rsidP="00591300">
      <w:pPr>
        <w:pStyle w:val="Caption"/>
        <w:keepNext/>
      </w:pPr>
      <w:r w:rsidRPr="00552CEE">
        <w:t xml:space="preserve">Table </w:t>
      </w:r>
      <w:fldSimple w:instr=" SEQ Table \* ARABIC ">
        <w:r w:rsidR="00BA359F">
          <w:rPr>
            <w:noProof/>
          </w:rPr>
          <w:t>21</w:t>
        </w:r>
      </w:fldSimple>
      <w:r w:rsidRPr="00552CEE">
        <w:t>: Cash flow waterfall for 2</w:t>
      </w:r>
      <w:r w:rsidR="009A4413" w:rsidRPr="00552CEE">
        <w:t>0</w:t>
      </w:r>
      <w:r w:rsidRPr="00552CEE">
        <w:t>% equity stake in project-financed joint venture project under base case. Results given for three years (2030: CfD period + commercial debt</w:t>
      </w:r>
      <w:r w:rsidR="00C046A8" w:rsidRPr="00552CEE">
        <w:t xml:space="preserve"> </w:t>
      </w:r>
      <w:r w:rsidRPr="00552CEE">
        <w:t>+ public sector debt; 2043: merchant tail + no commercial debt + public sector debt; 2048: merchant tail + no debt)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6"/>
        <w:gridCol w:w="45"/>
        <w:gridCol w:w="1431"/>
        <w:gridCol w:w="35"/>
        <w:gridCol w:w="1441"/>
        <w:gridCol w:w="25"/>
        <w:gridCol w:w="1452"/>
        <w:gridCol w:w="15"/>
        <w:gridCol w:w="1346"/>
      </w:tblGrid>
      <w:tr w:rsidR="00625C0B" w:rsidRPr="00552CEE" w14:paraId="2341BD07" w14:textId="36F21CE4" w:rsidTr="00625C0B">
        <w:tc>
          <w:tcPr>
            <w:tcW w:w="3236" w:type="dxa"/>
            <w:shd w:val="clear" w:color="auto" w:fill="D0CECE" w:themeFill="background2" w:themeFillShade="E6"/>
          </w:tcPr>
          <w:p w14:paraId="404B69F8" w14:textId="77777777" w:rsidR="00625C0B" w:rsidRPr="00552CEE" w:rsidRDefault="00625C0B" w:rsidP="0069273B">
            <w:pPr>
              <w:rPr>
                <w:i/>
                <w:iCs/>
              </w:rPr>
            </w:pPr>
            <w:r w:rsidRPr="00552CEE">
              <w:rPr>
                <w:i/>
                <w:iCs/>
                <w:sz w:val="20"/>
                <w:szCs w:val="20"/>
              </w:rPr>
              <w:t>Values in £million (2025, real, undiscounted)</w:t>
            </w:r>
          </w:p>
        </w:tc>
        <w:tc>
          <w:tcPr>
            <w:tcW w:w="1476" w:type="dxa"/>
            <w:gridSpan w:val="2"/>
            <w:shd w:val="clear" w:color="auto" w:fill="D0CECE" w:themeFill="background2" w:themeFillShade="E6"/>
          </w:tcPr>
          <w:p w14:paraId="282D27BC" w14:textId="77777777" w:rsidR="00625C0B" w:rsidRPr="00552CEE" w:rsidRDefault="00625C0B" w:rsidP="0069273B">
            <w:pPr>
              <w:jc w:val="center"/>
            </w:pPr>
            <w:r w:rsidRPr="00552CEE">
              <w:t>2030</w:t>
            </w:r>
          </w:p>
        </w:tc>
        <w:tc>
          <w:tcPr>
            <w:tcW w:w="1476" w:type="dxa"/>
            <w:gridSpan w:val="2"/>
            <w:shd w:val="clear" w:color="auto" w:fill="D0CECE" w:themeFill="background2" w:themeFillShade="E6"/>
          </w:tcPr>
          <w:p w14:paraId="675A2C90" w14:textId="77777777" w:rsidR="00625C0B" w:rsidRPr="00552CEE" w:rsidRDefault="00625C0B" w:rsidP="0069273B">
            <w:pPr>
              <w:jc w:val="center"/>
            </w:pPr>
            <w:r w:rsidRPr="00552CEE">
              <w:t>2043</w:t>
            </w:r>
          </w:p>
        </w:tc>
        <w:tc>
          <w:tcPr>
            <w:tcW w:w="1477" w:type="dxa"/>
            <w:gridSpan w:val="2"/>
            <w:shd w:val="clear" w:color="auto" w:fill="D0CECE" w:themeFill="background2" w:themeFillShade="E6"/>
          </w:tcPr>
          <w:p w14:paraId="096C8547" w14:textId="77777777" w:rsidR="00625C0B" w:rsidRPr="00552CEE" w:rsidRDefault="00625C0B" w:rsidP="0069273B">
            <w:pPr>
              <w:jc w:val="center"/>
            </w:pPr>
            <w:r w:rsidRPr="00552CEE">
              <w:t>2048</w:t>
            </w:r>
          </w:p>
        </w:tc>
        <w:tc>
          <w:tcPr>
            <w:tcW w:w="1361" w:type="dxa"/>
            <w:gridSpan w:val="2"/>
            <w:shd w:val="clear" w:color="auto" w:fill="D0CECE" w:themeFill="background2" w:themeFillShade="E6"/>
          </w:tcPr>
          <w:p w14:paraId="014B382A" w14:textId="5668DB48" w:rsidR="00625C0B" w:rsidRPr="00552CEE" w:rsidRDefault="00625C0B" w:rsidP="0069273B">
            <w:pPr>
              <w:jc w:val="center"/>
            </w:pPr>
            <w:r>
              <w:t>2028 - 58</w:t>
            </w:r>
          </w:p>
        </w:tc>
      </w:tr>
      <w:tr w:rsidR="00625C0B" w:rsidRPr="00552CEE" w14:paraId="0B4171C6" w14:textId="3DB654DC" w:rsidTr="00625C0B">
        <w:tc>
          <w:tcPr>
            <w:tcW w:w="3236" w:type="dxa"/>
          </w:tcPr>
          <w:p w14:paraId="2BFD6CEB" w14:textId="46F50E18" w:rsidR="00625C0B" w:rsidRPr="00552CEE" w:rsidRDefault="00625C0B" w:rsidP="0069273B">
            <w:r w:rsidRPr="00552CEE">
              <w:t xml:space="preserve">Upfront stake: £7.2 million </w:t>
            </w:r>
          </w:p>
          <w:p w14:paraId="34482FC4" w14:textId="422A832A" w:rsidR="00625C0B" w:rsidRPr="00552CEE" w:rsidRDefault="00625C0B" w:rsidP="0069273B">
            <w:r w:rsidRPr="00552CEE">
              <w:t>(20% of equity in Joint Venture SPV)</w:t>
            </w:r>
          </w:p>
        </w:tc>
        <w:tc>
          <w:tcPr>
            <w:tcW w:w="1476" w:type="dxa"/>
            <w:gridSpan w:val="2"/>
          </w:tcPr>
          <w:p w14:paraId="505D351D" w14:textId="77777777" w:rsidR="00625C0B" w:rsidRPr="00552CEE" w:rsidRDefault="00625C0B" w:rsidP="0069273B">
            <w:pPr>
              <w:jc w:val="center"/>
            </w:pPr>
          </w:p>
        </w:tc>
        <w:tc>
          <w:tcPr>
            <w:tcW w:w="1476" w:type="dxa"/>
            <w:gridSpan w:val="2"/>
          </w:tcPr>
          <w:p w14:paraId="22CB7B3E" w14:textId="77777777" w:rsidR="00625C0B" w:rsidRPr="00552CEE" w:rsidRDefault="00625C0B" w:rsidP="0069273B">
            <w:pPr>
              <w:jc w:val="center"/>
            </w:pPr>
          </w:p>
        </w:tc>
        <w:tc>
          <w:tcPr>
            <w:tcW w:w="1477" w:type="dxa"/>
            <w:gridSpan w:val="2"/>
          </w:tcPr>
          <w:p w14:paraId="7343CDF7" w14:textId="77777777" w:rsidR="00625C0B" w:rsidRPr="00552CEE" w:rsidRDefault="00625C0B" w:rsidP="0069273B">
            <w:pPr>
              <w:jc w:val="center"/>
            </w:pPr>
          </w:p>
        </w:tc>
        <w:tc>
          <w:tcPr>
            <w:tcW w:w="1361" w:type="dxa"/>
            <w:gridSpan w:val="2"/>
          </w:tcPr>
          <w:p w14:paraId="16E25F35" w14:textId="77777777" w:rsidR="00625C0B" w:rsidRPr="00552CEE" w:rsidRDefault="00625C0B" w:rsidP="0069273B">
            <w:pPr>
              <w:jc w:val="center"/>
            </w:pPr>
          </w:p>
        </w:tc>
      </w:tr>
      <w:tr w:rsidR="00625C0B" w:rsidRPr="00552CEE" w14:paraId="63EADFF1" w14:textId="056B26AF" w:rsidTr="00625C0B">
        <w:tc>
          <w:tcPr>
            <w:tcW w:w="3236" w:type="dxa"/>
            <w:vAlign w:val="bottom"/>
          </w:tcPr>
          <w:p w14:paraId="68B661EA" w14:textId="77777777" w:rsidR="00625C0B" w:rsidRPr="00552CEE" w:rsidRDefault="00625C0B" w:rsidP="001E1B72">
            <w:r w:rsidRPr="00552CEE">
              <w:t>Revenue</w:t>
            </w:r>
          </w:p>
        </w:tc>
        <w:tc>
          <w:tcPr>
            <w:tcW w:w="1476" w:type="dxa"/>
            <w:gridSpan w:val="2"/>
          </w:tcPr>
          <w:p w14:paraId="37D7358F" w14:textId="3F3E06A1" w:rsidR="00625C0B" w:rsidRPr="00552CEE" w:rsidRDefault="00625C0B" w:rsidP="001E1B72">
            <w:pPr>
              <w:jc w:val="center"/>
            </w:pPr>
            <w:r w:rsidRPr="00B2156E">
              <w:t>2.41</w:t>
            </w:r>
          </w:p>
        </w:tc>
        <w:tc>
          <w:tcPr>
            <w:tcW w:w="1476" w:type="dxa"/>
            <w:gridSpan w:val="2"/>
          </w:tcPr>
          <w:p w14:paraId="562E89D6" w14:textId="61F3D691" w:rsidR="00625C0B" w:rsidRPr="00552CEE" w:rsidRDefault="00625C0B" w:rsidP="001E1B72">
            <w:pPr>
              <w:jc w:val="center"/>
            </w:pPr>
            <w:r w:rsidRPr="00B2156E">
              <w:t>1.79</w:t>
            </w:r>
          </w:p>
        </w:tc>
        <w:tc>
          <w:tcPr>
            <w:tcW w:w="1477" w:type="dxa"/>
            <w:gridSpan w:val="2"/>
          </w:tcPr>
          <w:p w14:paraId="526ABD3E" w14:textId="3412F5D8" w:rsidR="00625C0B" w:rsidRPr="00552CEE" w:rsidRDefault="00625C0B" w:rsidP="001E1B72">
            <w:pPr>
              <w:jc w:val="center"/>
            </w:pPr>
            <w:r w:rsidRPr="00B2156E">
              <w:t>1.79</w:t>
            </w:r>
          </w:p>
        </w:tc>
        <w:tc>
          <w:tcPr>
            <w:tcW w:w="1361" w:type="dxa"/>
            <w:gridSpan w:val="2"/>
          </w:tcPr>
          <w:p w14:paraId="7AB7C46A" w14:textId="77777777" w:rsidR="00625C0B" w:rsidRPr="00B2156E" w:rsidRDefault="00625C0B" w:rsidP="001E1B72">
            <w:pPr>
              <w:jc w:val="center"/>
            </w:pPr>
          </w:p>
        </w:tc>
      </w:tr>
      <w:tr w:rsidR="00625C0B" w:rsidRPr="00552CEE" w14:paraId="21D33F47" w14:textId="76F7033A" w:rsidTr="00625C0B">
        <w:tc>
          <w:tcPr>
            <w:tcW w:w="3236" w:type="dxa"/>
            <w:vAlign w:val="bottom"/>
          </w:tcPr>
          <w:p w14:paraId="449E1A62" w14:textId="77777777" w:rsidR="00625C0B" w:rsidRPr="00B252FD" w:rsidRDefault="00625C0B" w:rsidP="001E1B72">
            <w:r w:rsidRPr="00B252FD">
              <w:t>Operating Costs</w:t>
            </w:r>
          </w:p>
        </w:tc>
        <w:tc>
          <w:tcPr>
            <w:tcW w:w="1476" w:type="dxa"/>
            <w:gridSpan w:val="2"/>
          </w:tcPr>
          <w:p w14:paraId="006708C8" w14:textId="5D5FDFF5" w:rsidR="00625C0B" w:rsidRPr="00552CEE" w:rsidRDefault="00625C0B" w:rsidP="001E1B72">
            <w:pPr>
              <w:jc w:val="center"/>
            </w:pPr>
            <w:r w:rsidRPr="00B2156E">
              <w:t>0.69</w:t>
            </w:r>
          </w:p>
        </w:tc>
        <w:tc>
          <w:tcPr>
            <w:tcW w:w="1476" w:type="dxa"/>
            <w:gridSpan w:val="2"/>
          </w:tcPr>
          <w:p w14:paraId="0BC898B5" w14:textId="5140CE16" w:rsidR="00625C0B" w:rsidRPr="00552CEE" w:rsidRDefault="00625C0B" w:rsidP="001E1B72">
            <w:pPr>
              <w:jc w:val="center"/>
            </w:pPr>
            <w:r w:rsidRPr="00B2156E">
              <w:t>0.70</w:t>
            </w:r>
          </w:p>
        </w:tc>
        <w:tc>
          <w:tcPr>
            <w:tcW w:w="1477" w:type="dxa"/>
            <w:gridSpan w:val="2"/>
          </w:tcPr>
          <w:p w14:paraId="29970623" w14:textId="2E31CD04" w:rsidR="00625C0B" w:rsidRPr="00552CEE" w:rsidRDefault="00625C0B" w:rsidP="001E1B72">
            <w:pPr>
              <w:jc w:val="center"/>
            </w:pPr>
            <w:r w:rsidRPr="00B2156E">
              <w:t>0.70</w:t>
            </w:r>
          </w:p>
        </w:tc>
        <w:tc>
          <w:tcPr>
            <w:tcW w:w="1361" w:type="dxa"/>
            <w:gridSpan w:val="2"/>
          </w:tcPr>
          <w:p w14:paraId="7D43B77C" w14:textId="77777777" w:rsidR="00625C0B" w:rsidRPr="00B2156E" w:rsidRDefault="00625C0B" w:rsidP="001E1B72">
            <w:pPr>
              <w:jc w:val="center"/>
            </w:pPr>
          </w:p>
        </w:tc>
      </w:tr>
      <w:tr w:rsidR="00625C0B" w:rsidRPr="00552CEE" w14:paraId="5873BC0B" w14:textId="29E31426" w:rsidTr="00625C0B">
        <w:tc>
          <w:tcPr>
            <w:tcW w:w="3236" w:type="dxa"/>
            <w:vAlign w:val="bottom"/>
          </w:tcPr>
          <w:p w14:paraId="402F57D4" w14:textId="77777777" w:rsidR="00625C0B" w:rsidRPr="00B252FD" w:rsidRDefault="00625C0B" w:rsidP="001E1B72">
            <w:r w:rsidRPr="00B252FD">
              <w:t>Commercial debt servicing</w:t>
            </w:r>
          </w:p>
        </w:tc>
        <w:tc>
          <w:tcPr>
            <w:tcW w:w="1476" w:type="dxa"/>
            <w:gridSpan w:val="2"/>
          </w:tcPr>
          <w:p w14:paraId="734937B7" w14:textId="65F0BF6C" w:rsidR="00625C0B" w:rsidRPr="00552CEE" w:rsidRDefault="00625C0B" w:rsidP="001E1B72">
            <w:pPr>
              <w:jc w:val="center"/>
              <w:rPr>
                <w:color w:val="D0CECE" w:themeColor="background2" w:themeShade="E6"/>
              </w:rPr>
            </w:pPr>
            <w:r w:rsidRPr="00B2156E">
              <w:t>1.24</w:t>
            </w:r>
          </w:p>
        </w:tc>
        <w:tc>
          <w:tcPr>
            <w:tcW w:w="1476" w:type="dxa"/>
            <w:gridSpan w:val="2"/>
          </w:tcPr>
          <w:p w14:paraId="5AEB6BF4" w14:textId="0F703EBF" w:rsidR="00625C0B" w:rsidRPr="00552CEE" w:rsidRDefault="00625C0B" w:rsidP="001E1B72">
            <w:pPr>
              <w:jc w:val="center"/>
              <w:rPr>
                <w:color w:val="D0CECE" w:themeColor="background2" w:themeShade="E6"/>
              </w:rPr>
            </w:pPr>
            <w:r w:rsidRPr="00B2156E">
              <w:t>0.00</w:t>
            </w:r>
          </w:p>
        </w:tc>
        <w:tc>
          <w:tcPr>
            <w:tcW w:w="1477" w:type="dxa"/>
            <w:gridSpan w:val="2"/>
          </w:tcPr>
          <w:p w14:paraId="14994EE1" w14:textId="59B3AE6C" w:rsidR="00625C0B" w:rsidRPr="00552CEE" w:rsidRDefault="00625C0B" w:rsidP="001E1B72">
            <w:pPr>
              <w:jc w:val="center"/>
              <w:rPr>
                <w:color w:val="D0CECE" w:themeColor="background2" w:themeShade="E6"/>
              </w:rPr>
            </w:pPr>
            <w:r w:rsidRPr="00B2156E">
              <w:t>0.00</w:t>
            </w:r>
          </w:p>
        </w:tc>
        <w:tc>
          <w:tcPr>
            <w:tcW w:w="1361" w:type="dxa"/>
            <w:gridSpan w:val="2"/>
          </w:tcPr>
          <w:p w14:paraId="0788B247" w14:textId="77777777" w:rsidR="00625C0B" w:rsidRPr="00B2156E" w:rsidRDefault="00625C0B" w:rsidP="001E1B72">
            <w:pPr>
              <w:jc w:val="center"/>
            </w:pPr>
          </w:p>
        </w:tc>
      </w:tr>
      <w:tr w:rsidR="00625C0B" w:rsidRPr="00552CEE" w14:paraId="093C3088" w14:textId="222BF150" w:rsidTr="00625C0B">
        <w:tc>
          <w:tcPr>
            <w:tcW w:w="3236" w:type="dxa"/>
            <w:vAlign w:val="bottom"/>
          </w:tcPr>
          <w:p w14:paraId="6B01D593" w14:textId="77777777" w:rsidR="00625C0B" w:rsidRPr="00552CEE" w:rsidRDefault="00625C0B" w:rsidP="001E1B72">
            <w:r w:rsidRPr="00552CEE">
              <w:t>Cash flow from project to SO</w:t>
            </w:r>
          </w:p>
        </w:tc>
        <w:tc>
          <w:tcPr>
            <w:tcW w:w="1476" w:type="dxa"/>
            <w:gridSpan w:val="2"/>
          </w:tcPr>
          <w:p w14:paraId="406B519A" w14:textId="2D8C75C8" w:rsidR="00625C0B" w:rsidRPr="00552CEE" w:rsidRDefault="00625C0B" w:rsidP="001E1B72">
            <w:pPr>
              <w:jc w:val="center"/>
            </w:pPr>
            <w:r w:rsidRPr="00B2156E">
              <w:t>0.48</w:t>
            </w:r>
          </w:p>
        </w:tc>
        <w:tc>
          <w:tcPr>
            <w:tcW w:w="1476" w:type="dxa"/>
            <w:gridSpan w:val="2"/>
          </w:tcPr>
          <w:p w14:paraId="70265BAE" w14:textId="110AF449" w:rsidR="00625C0B" w:rsidRPr="00552CEE" w:rsidRDefault="00625C0B" w:rsidP="001E1B72">
            <w:pPr>
              <w:jc w:val="center"/>
            </w:pPr>
            <w:r w:rsidRPr="00B2156E">
              <w:t>1.09</w:t>
            </w:r>
          </w:p>
        </w:tc>
        <w:tc>
          <w:tcPr>
            <w:tcW w:w="1477" w:type="dxa"/>
            <w:gridSpan w:val="2"/>
          </w:tcPr>
          <w:p w14:paraId="0A982125" w14:textId="773D6FE1" w:rsidR="00625C0B" w:rsidRPr="00552CEE" w:rsidRDefault="00625C0B" w:rsidP="001E1B72">
            <w:pPr>
              <w:jc w:val="center"/>
            </w:pPr>
            <w:r w:rsidRPr="00B2156E">
              <w:t>1.09</w:t>
            </w:r>
          </w:p>
        </w:tc>
        <w:tc>
          <w:tcPr>
            <w:tcW w:w="1361" w:type="dxa"/>
            <w:gridSpan w:val="2"/>
          </w:tcPr>
          <w:p w14:paraId="0AD5414A" w14:textId="77777777" w:rsidR="00625C0B" w:rsidRPr="00B2156E" w:rsidRDefault="00625C0B" w:rsidP="001E1B72">
            <w:pPr>
              <w:jc w:val="center"/>
            </w:pPr>
          </w:p>
        </w:tc>
      </w:tr>
      <w:tr w:rsidR="00625C0B" w:rsidRPr="00552CEE" w14:paraId="0E2247CA" w14:textId="32366257" w:rsidTr="00625C0B">
        <w:tc>
          <w:tcPr>
            <w:tcW w:w="3236" w:type="dxa"/>
            <w:vAlign w:val="bottom"/>
          </w:tcPr>
          <w:p w14:paraId="651E8BB3" w14:textId="77777777" w:rsidR="00625C0B" w:rsidRPr="00552CEE" w:rsidRDefault="00625C0B" w:rsidP="001E1B72">
            <w:r w:rsidRPr="00552CEE">
              <w:t>Public Sector loan servicing</w:t>
            </w:r>
          </w:p>
        </w:tc>
        <w:tc>
          <w:tcPr>
            <w:tcW w:w="1476" w:type="dxa"/>
            <w:gridSpan w:val="2"/>
          </w:tcPr>
          <w:p w14:paraId="5FE23801" w14:textId="32ED6F0B" w:rsidR="00625C0B" w:rsidRPr="00552CEE" w:rsidRDefault="00625C0B" w:rsidP="001E1B72">
            <w:pPr>
              <w:jc w:val="center"/>
            </w:pPr>
            <w:r w:rsidRPr="00B2156E">
              <w:t>0.44</w:t>
            </w:r>
          </w:p>
        </w:tc>
        <w:tc>
          <w:tcPr>
            <w:tcW w:w="1476" w:type="dxa"/>
            <w:gridSpan w:val="2"/>
          </w:tcPr>
          <w:p w14:paraId="048B6060" w14:textId="2DF51590" w:rsidR="00625C0B" w:rsidRPr="00552CEE" w:rsidRDefault="00625C0B" w:rsidP="001E1B72">
            <w:pPr>
              <w:jc w:val="center"/>
            </w:pPr>
            <w:r w:rsidRPr="00B2156E">
              <w:t>0.44</w:t>
            </w:r>
          </w:p>
        </w:tc>
        <w:tc>
          <w:tcPr>
            <w:tcW w:w="1477" w:type="dxa"/>
            <w:gridSpan w:val="2"/>
          </w:tcPr>
          <w:p w14:paraId="71FCE677" w14:textId="426FCD01" w:rsidR="00625C0B" w:rsidRPr="00552CEE" w:rsidRDefault="00625C0B" w:rsidP="001E1B72">
            <w:pPr>
              <w:jc w:val="center"/>
            </w:pPr>
            <w:r w:rsidRPr="00B2156E">
              <w:t>0.00</w:t>
            </w:r>
          </w:p>
        </w:tc>
        <w:tc>
          <w:tcPr>
            <w:tcW w:w="1361" w:type="dxa"/>
            <w:gridSpan w:val="2"/>
          </w:tcPr>
          <w:p w14:paraId="6B676EC2" w14:textId="77777777" w:rsidR="00625C0B" w:rsidRPr="00B2156E" w:rsidRDefault="00625C0B" w:rsidP="001E1B72">
            <w:pPr>
              <w:jc w:val="center"/>
            </w:pPr>
          </w:p>
        </w:tc>
      </w:tr>
      <w:tr w:rsidR="00625C0B" w:rsidRPr="00552CEE" w14:paraId="2A84C508" w14:textId="7A10E96E" w:rsidTr="00625C0B">
        <w:trPr>
          <w:trHeight w:val="44"/>
        </w:trPr>
        <w:tc>
          <w:tcPr>
            <w:tcW w:w="3236" w:type="dxa"/>
            <w:vAlign w:val="bottom"/>
          </w:tcPr>
          <w:p w14:paraId="5428BADE" w14:textId="77777777" w:rsidR="00625C0B" w:rsidRPr="00552CEE" w:rsidRDefault="00625C0B" w:rsidP="001E1B72">
            <w:r w:rsidRPr="00552CEE">
              <w:t>Final SO income</w:t>
            </w:r>
          </w:p>
        </w:tc>
        <w:tc>
          <w:tcPr>
            <w:tcW w:w="1476" w:type="dxa"/>
            <w:gridSpan w:val="2"/>
          </w:tcPr>
          <w:p w14:paraId="3995B01D" w14:textId="0652D605" w:rsidR="00625C0B" w:rsidRPr="00552CEE" w:rsidRDefault="00625C0B" w:rsidP="001E1B72">
            <w:pPr>
              <w:jc w:val="center"/>
            </w:pPr>
            <w:r w:rsidRPr="00B2156E">
              <w:t>0.04</w:t>
            </w:r>
          </w:p>
        </w:tc>
        <w:tc>
          <w:tcPr>
            <w:tcW w:w="1476" w:type="dxa"/>
            <w:gridSpan w:val="2"/>
          </w:tcPr>
          <w:p w14:paraId="3E921DBB" w14:textId="37B2F4CE" w:rsidR="00625C0B" w:rsidRPr="00552CEE" w:rsidRDefault="00625C0B" w:rsidP="001E1B72">
            <w:pPr>
              <w:jc w:val="center"/>
            </w:pPr>
            <w:r w:rsidRPr="00B2156E">
              <w:t>0.65</w:t>
            </w:r>
          </w:p>
        </w:tc>
        <w:tc>
          <w:tcPr>
            <w:tcW w:w="1477" w:type="dxa"/>
            <w:gridSpan w:val="2"/>
          </w:tcPr>
          <w:p w14:paraId="068B5692" w14:textId="5D740537" w:rsidR="00625C0B" w:rsidRPr="00552CEE" w:rsidRDefault="00625C0B" w:rsidP="001E1B72">
            <w:pPr>
              <w:jc w:val="center"/>
            </w:pPr>
            <w:r w:rsidRPr="00B2156E">
              <w:t>1.09</w:t>
            </w:r>
          </w:p>
        </w:tc>
        <w:tc>
          <w:tcPr>
            <w:tcW w:w="1361" w:type="dxa"/>
            <w:gridSpan w:val="2"/>
          </w:tcPr>
          <w:p w14:paraId="75D822F5" w14:textId="77777777" w:rsidR="00625C0B" w:rsidRPr="00B2156E" w:rsidRDefault="00625C0B" w:rsidP="001E1B72">
            <w:pPr>
              <w:jc w:val="center"/>
            </w:pPr>
          </w:p>
        </w:tc>
      </w:tr>
      <w:tr w:rsidR="00625C0B" w:rsidRPr="00552CEE" w14:paraId="33AFCADC" w14:textId="77777777" w:rsidTr="004E2AB3">
        <w:tc>
          <w:tcPr>
            <w:tcW w:w="3281" w:type="dxa"/>
            <w:gridSpan w:val="2"/>
            <w:vAlign w:val="bottom"/>
          </w:tcPr>
          <w:p w14:paraId="128FA503" w14:textId="77777777" w:rsidR="00625C0B" w:rsidRDefault="00625C0B" w:rsidP="00625C0B">
            <w:r>
              <w:t>Cumulative lifetime income</w:t>
            </w:r>
          </w:p>
          <w:p w14:paraId="6DC1F477" w14:textId="2BBA0C67" w:rsidR="00625C0B" w:rsidRPr="00552CEE" w:rsidRDefault="00625C0B" w:rsidP="00625C0B">
            <w:r>
              <w:t>(30 years, undiscounted)</w:t>
            </w:r>
          </w:p>
        </w:tc>
        <w:tc>
          <w:tcPr>
            <w:tcW w:w="1466" w:type="dxa"/>
            <w:gridSpan w:val="2"/>
          </w:tcPr>
          <w:p w14:paraId="44CC7A68" w14:textId="77777777" w:rsidR="00625C0B" w:rsidRPr="00552CEE" w:rsidRDefault="00625C0B" w:rsidP="004E2AB3">
            <w:pPr>
              <w:jc w:val="center"/>
            </w:pPr>
          </w:p>
        </w:tc>
        <w:tc>
          <w:tcPr>
            <w:tcW w:w="1466" w:type="dxa"/>
            <w:gridSpan w:val="2"/>
          </w:tcPr>
          <w:p w14:paraId="7380C750" w14:textId="77777777" w:rsidR="00625C0B" w:rsidRPr="00552CEE" w:rsidRDefault="00625C0B" w:rsidP="004E2AB3">
            <w:pPr>
              <w:jc w:val="center"/>
              <w:rPr>
                <w:color w:val="C00000" w:themeColor="accent4"/>
              </w:rPr>
            </w:pPr>
          </w:p>
        </w:tc>
        <w:tc>
          <w:tcPr>
            <w:tcW w:w="1467" w:type="dxa"/>
            <w:gridSpan w:val="2"/>
          </w:tcPr>
          <w:p w14:paraId="2E6B389B" w14:textId="77777777" w:rsidR="00625C0B" w:rsidRPr="00552CEE" w:rsidRDefault="00625C0B" w:rsidP="004E2AB3">
            <w:pPr>
              <w:jc w:val="center"/>
            </w:pPr>
          </w:p>
        </w:tc>
        <w:tc>
          <w:tcPr>
            <w:tcW w:w="1346" w:type="dxa"/>
          </w:tcPr>
          <w:p w14:paraId="6267658D" w14:textId="17263CC0" w:rsidR="00625C0B" w:rsidRPr="00552CEE" w:rsidRDefault="00625C0B" w:rsidP="00625C0B">
            <w:pPr>
              <w:jc w:val="center"/>
            </w:pPr>
            <w:r>
              <w:t>14.8</w:t>
            </w:r>
          </w:p>
        </w:tc>
      </w:tr>
    </w:tbl>
    <w:p w14:paraId="3AB7E9DD" w14:textId="77777777" w:rsidR="007D76E1" w:rsidRPr="00552CEE" w:rsidRDefault="007D76E1" w:rsidP="0043492D"/>
    <w:p w14:paraId="3CB63DA8" w14:textId="77777777" w:rsidR="001A26EE" w:rsidRPr="00552CEE" w:rsidRDefault="001A26EE" w:rsidP="001A26EE">
      <w:pPr>
        <w:pStyle w:val="Heading2"/>
      </w:pPr>
      <w:r w:rsidRPr="00552CEE">
        <w:t>Sensitivities</w:t>
      </w:r>
    </w:p>
    <w:p w14:paraId="03DEB17B" w14:textId="6F99F321" w:rsidR="00597F8E" w:rsidRPr="00552CEE" w:rsidRDefault="00597F8E" w:rsidP="00597F8E">
      <w:r w:rsidRPr="00552CEE">
        <w:t xml:space="preserve">The following sensitivities are modelled for the </w:t>
      </w:r>
      <w:r w:rsidR="00EF15F6">
        <w:t xml:space="preserve">balance sheet (no project level commercial debt) </w:t>
      </w:r>
      <w:r w:rsidRPr="00552CEE">
        <w:t>approach:</w:t>
      </w:r>
    </w:p>
    <w:p w14:paraId="114B6B0B" w14:textId="77777777" w:rsidR="00597F8E" w:rsidRPr="00552CEE" w:rsidRDefault="00597F8E" w:rsidP="00EF15F6">
      <w:pPr>
        <w:pStyle w:val="ListParagraph"/>
        <w:numPr>
          <w:ilvl w:val="0"/>
          <w:numId w:val="49"/>
        </w:numPr>
      </w:pPr>
      <w:r w:rsidRPr="00552CEE">
        <w:lastRenderedPageBreak/>
        <w:t>Impact of varying project valuation</w:t>
      </w:r>
    </w:p>
    <w:p w14:paraId="155630AF" w14:textId="77777777" w:rsidR="00597F8E" w:rsidRPr="00552CEE" w:rsidRDefault="00597F8E" w:rsidP="00EF15F6">
      <w:pPr>
        <w:pStyle w:val="ListParagraph"/>
        <w:numPr>
          <w:ilvl w:val="0"/>
          <w:numId w:val="49"/>
        </w:numPr>
      </w:pPr>
      <w:r w:rsidRPr="00552CEE">
        <w:t>Impact of varying public sector loan interest rates</w:t>
      </w:r>
    </w:p>
    <w:p w14:paraId="26965915" w14:textId="77777777" w:rsidR="00597F8E" w:rsidRPr="00552CEE" w:rsidRDefault="00597F8E" w:rsidP="00EF15F6">
      <w:pPr>
        <w:pStyle w:val="ListParagraph"/>
        <w:numPr>
          <w:ilvl w:val="0"/>
          <w:numId w:val="49"/>
        </w:numPr>
      </w:pPr>
      <w:r w:rsidRPr="00552CEE">
        <w:t>Impact of varying public sector loan tenor (repayment period)</w:t>
      </w:r>
    </w:p>
    <w:p w14:paraId="2EB99A1C" w14:textId="5D222BF8" w:rsidR="00597F8E" w:rsidRPr="00552CEE" w:rsidRDefault="00597F8E" w:rsidP="00597F8E">
      <w:r w:rsidRPr="00552CEE">
        <w:t>For the project finance approach, the following sensitivity is modelled:</w:t>
      </w:r>
    </w:p>
    <w:p w14:paraId="71735EA4" w14:textId="2159EAD5" w:rsidR="001E0D40" w:rsidRPr="00552CEE" w:rsidRDefault="00597F8E" w:rsidP="00EF15F6">
      <w:pPr>
        <w:pStyle w:val="ListParagraph"/>
        <w:numPr>
          <w:ilvl w:val="0"/>
          <w:numId w:val="50"/>
        </w:numPr>
      </w:pPr>
      <w:r w:rsidRPr="00552CEE">
        <w:t>Impact of commercial bank loan interest rate</w:t>
      </w:r>
    </w:p>
    <w:p w14:paraId="4AC4AB41" w14:textId="43CEF5E7" w:rsidR="001A26EE" w:rsidRPr="00552CEE" w:rsidRDefault="001A26EE" w:rsidP="001A26EE">
      <w:pPr>
        <w:pStyle w:val="Heading3"/>
      </w:pPr>
      <w:r w:rsidRPr="00552CEE">
        <w:t>Impact of market valuation</w:t>
      </w:r>
    </w:p>
    <w:p w14:paraId="3FB2397D" w14:textId="77777777" w:rsidR="005B3284" w:rsidRPr="00552CEE" w:rsidRDefault="005B3284" w:rsidP="005B3284">
      <w:r w:rsidRPr="00552CEE">
        <w:t>Changes in the assumed market valuation, reflected through the discount rate, have a material impact on both the upfront cost of the stake and the resulting returns to the SO organisation.</w:t>
      </w:r>
    </w:p>
    <w:p w14:paraId="33543C77" w14:textId="5607E60B" w:rsidR="005B3284" w:rsidRPr="00552CEE" w:rsidRDefault="005B3284" w:rsidP="00476988">
      <w:pPr>
        <w:pStyle w:val="ListParagraph"/>
        <w:numPr>
          <w:ilvl w:val="0"/>
          <w:numId w:val="51"/>
        </w:numPr>
      </w:pPr>
      <w:r w:rsidRPr="00552CEE">
        <w:t xml:space="preserve">Each one percentage point increase in the discount rate reduces the valuation of a 10% </w:t>
      </w:r>
      <w:r w:rsidR="00FE3AC5">
        <w:t xml:space="preserve">balance sheet </w:t>
      </w:r>
      <w:r w:rsidRPr="00552CEE">
        <w:t>ownership stake by approximately £60</w:t>
      </w:r>
      <w:r w:rsidR="005D60DB">
        <w:t>0</w:t>
      </w:r>
      <w:r w:rsidRPr="00552CEE">
        <w:t>,000 to £1</w:t>
      </w:r>
      <w:r w:rsidR="005D60DB">
        <w:t>million</w:t>
      </w:r>
      <w:r w:rsidRPr="00552CEE">
        <w:t xml:space="preserve">. This directly reduces the level of shared ownership financing required, such as a public sector loan. </w:t>
      </w:r>
    </w:p>
    <w:p w14:paraId="41A062B8" w14:textId="2875EA8F" w:rsidR="005B3284" w:rsidRPr="00552CEE" w:rsidRDefault="005B3284" w:rsidP="00476988">
      <w:pPr>
        <w:pStyle w:val="ListParagraph"/>
        <w:numPr>
          <w:ilvl w:val="0"/>
          <w:numId w:val="51"/>
        </w:numPr>
      </w:pPr>
      <w:r w:rsidRPr="00552CEE">
        <w:t>Each one percentage point increase in the discount rate increases annual income to the SO organisation by approximately £35</w:t>
      </w:r>
      <w:r w:rsidR="003E71A9">
        <w:t>,0</w:t>
      </w:r>
      <w:r w:rsidRPr="00552CEE">
        <w:t>00 to £60</w:t>
      </w:r>
      <w:r w:rsidR="003E71A9">
        <w:t>,0</w:t>
      </w:r>
      <w:r w:rsidRPr="00552CEE">
        <w:t xml:space="preserve">00. This reflects the lower debt servicing costs associated with a smaller loan requirement. </w:t>
      </w:r>
    </w:p>
    <w:p w14:paraId="40F7FD3E" w14:textId="77777777" w:rsidR="005B3284" w:rsidRPr="00552CEE" w:rsidRDefault="005B3284" w:rsidP="005B3284">
      <w:r w:rsidRPr="00552CEE">
        <w:t>For example, increasing the discount rate used for valuation from 7.5% to 8.5% reduces the required public sector loan from £9.5 million to £8.8 million, a decrease of £760,000. This in turn reduces annual debt servicing costs by around £47,000 per year over the first 20 years of the project, resulting in a total increase in lifetime profit to the SO organisation of approximately £940,000.</w:t>
      </w:r>
    </w:p>
    <w:p w14:paraId="2322C009" w14:textId="77777777" w:rsidR="00092F1E" w:rsidRPr="00552CEE" w:rsidRDefault="00092F1E" w:rsidP="00092F1E">
      <w:pPr>
        <w:keepNext/>
        <w:jc w:val="center"/>
      </w:pPr>
      <w:r w:rsidRPr="00552CEE">
        <w:rPr>
          <w:noProof/>
        </w:rPr>
        <w:drawing>
          <wp:inline distT="0" distB="0" distL="0" distR="0" wp14:anchorId="5C5DE9A2" wp14:editId="71B489CC">
            <wp:extent cx="5993130" cy="2170430"/>
            <wp:effectExtent l="0" t="0" r="0" b="0"/>
            <wp:docPr id="675593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93130" cy="2170430"/>
                    </a:xfrm>
                    <a:prstGeom prst="rect">
                      <a:avLst/>
                    </a:prstGeom>
                    <a:noFill/>
                  </pic:spPr>
                </pic:pic>
              </a:graphicData>
            </a:graphic>
          </wp:inline>
        </w:drawing>
      </w:r>
    </w:p>
    <w:p w14:paraId="297B3A44" w14:textId="15C7DA39" w:rsidR="001A26EE" w:rsidRPr="00552CEE" w:rsidRDefault="00092F1E" w:rsidP="00092F1E">
      <w:pPr>
        <w:pStyle w:val="Caption"/>
        <w:jc w:val="center"/>
      </w:pPr>
      <w:r w:rsidRPr="00552CEE">
        <w:t xml:space="preserve">Figure </w:t>
      </w:r>
      <w:fldSimple w:instr=" SEQ Figure \* ARABIC ">
        <w:r w:rsidR="00BA359F">
          <w:rPr>
            <w:noProof/>
          </w:rPr>
          <w:t>2</w:t>
        </w:r>
      </w:fldSimple>
      <w:r w:rsidRPr="00552CEE">
        <w:t>: The impact of the valuation on loan size and annual revenue. (a) shows the reduction of required loan size as the discount rate used at valuation increases; (b) shows the impact on annual revenue at different stages of operation. The impact comes from changes in the annual debt servicing costs of the public sector loan.</w:t>
      </w:r>
    </w:p>
    <w:p w14:paraId="46E62B1D" w14:textId="064E90C8" w:rsidR="008B44BE" w:rsidRPr="00552CEE" w:rsidRDefault="008B44BE" w:rsidP="008B44BE">
      <w:pPr>
        <w:pStyle w:val="Heading3"/>
      </w:pPr>
      <w:r w:rsidRPr="00552CEE">
        <w:t xml:space="preserve">Impact of public sector debt </w:t>
      </w:r>
      <w:r w:rsidR="008B5DF3" w:rsidRPr="00552CEE">
        <w:t>interest rate</w:t>
      </w:r>
    </w:p>
    <w:p w14:paraId="32E4413A" w14:textId="715B2B53" w:rsidR="00014EE9" w:rsidRPr="00552CEE" w:rsidRDefault="00014EE9" w:rsidP="00014EE9">
      <w:r w:rsidRPr="00552CEE">
        <w:t xml:space="preserve">The final level of </w:t>
      </w:r>
      <w:r w:rsidR="00242053">
        <w:t xml:space="preserve">revenue available for </w:t>
      </w:r>
      <w:r w:rsidRPr="00552CEE">
        <w:t xml:space="preserve">SO </w:t>
      </w:r>
      <w:r w:rsidR="00242053">
        <w:t xml:space="preserve">use </w:t>
      </w:r>
      <w:r w:rsidRPr="00552CEE">
        <w:t>is highly sensitive to the terms of any public sector funding, whether provided as a loan or a grant.</w:t>
      </w:r>
    </w:p>
    <w:p w14:paraId="79A72CED" w14:textId="77777777" w:rsidR="00014EE9" w:rsidRPr="00552CEE" w:rsidRDefault="00014EE9" w:rsidP="00014EE9">
      <w:pPr>
        <w:pStyle w:val="ListParagraph"/>
        <w:numPr>
          <w:ilvl w:val="0"/>
          <w:numId w:val="36"/>
        </w:numPr>
      </w:pPr>
      <w:r w:rsidRPr="00552CEE">
        <w:lastRenderedPageBreak/>
        <w:t>A zero-interest loan of £9.1 million over 20 years requires annual repayments of £460,000.</w:t>
      </w:r>
    </w:p>
    <w:p w14:paraId="1D737EA7" w14:textId="77777777" w:rsidR="00014EE9" w:rsidRPr="00552CEE" w:rsidRDefault="00014EE9" w:rsidP="00014EE9">
      <w:pPr>
        <w:pStyle w:val="ListParagraph"/>
        <w:numPr>
          <w:ilvl w:val="0"/>
          <w:numId w:val="36"/>
        </w:numPr>
      </w:pPr>
      <w:r w:rsidRPr="00552CEE">
        <w:t>Each one percentage point increase in the interest rate increases annual repayments by approximately £40,000 to £60,000 across the range from 0% to 4.5%.</w:t>
      </w:r>
    </w:p>
    <w:p w14:paraId="7BA5E89B" w14:textId="52D3F002" w:rsidR="00014EE9" w:rsidRPr="00552CEE" w:rsidRDefault="00014EE9" w:rsidP="00014EE9">
      <w:pPr>
        <w:pStyle w:val="ListParagraph"/>
        <w:numPr>
          <w:ilvl w:val="0"/>
          <w:numId w:val="36"/>
        </w:numPr>
      </w:pPr>
      <w:r w:rsidRPr="00552CEE">
        <w:t>For example, a 2% interest rate increases annual repayments to around £560,000 (an additional £100,000 compared with a zero-interest loan), while a 4.5% interest rate increases repayments to approximately £701,000 (an additional £245,000).</w:t>
      </w:r>
    </w:p>
    <w:p w14:paraId="7DD8D6B8" w14:textId="05B9895A" w:rsidR="00014EE9" w:rsidRPr="00552CEE" w:rsidRDefault="00014EE9" w:rsidP="00014EE9">
      <w:r w:rsidRPr="00552CEE">
        <w:t>Higher interest rates materially reduce SO income and, in this example, result in negative operating profit during the period between the end of the CfD and the end of the public sector loan.</w:t>
      </w:r>
    </w:p>
    <w:p w14:paraId="29051F36" w14:textId="566ECB5A" w:rsidR="00E25CDE" w:rsidRPr="00552CEE" w:rsidRDefault="00014EE9" w:rsidP="00014EE9">
      <w:r w:rsidRPr="00552CEE">
        <w:t xml:space="preserve">By contrast, a public sector grant removes the need for any debt </w:t>
      </w:r>
      <w:r w:rsidR="00240CBC" w:rsidRPr="00552CEE">
        <w:t>servicing,</w:t>
      </w:r>
      <w:r w:rsidRPr="00552CEE">
        <w:t xml:space="preserve"> increasing SO operating profit by £460,000 per year over the first 20 years of the project.</w:t>
      </w:r>
    </w:p>
    <w:p w14:paraId="578029FC" w14:textId="77777777" w:rsidR="00A81AA5" w:rsidRPr="00552CEE" w:rsidRDefault="00A81AA5" w:rsidP="00A81AA5">
      <w:pPr>
        <w:pStyle w:val="ListParagraph"/>
      </w:pPr>
    </w:p>
    <w:p w14:paraId="6AE06254" w14:textId="77777777" w:rsidR="00014EE9" w:rsidRPr="00552CEE" w:rsidRDefault="002C0891" w:rsidP="00014EE9">
      <w:pPr>
        <w:keepNext/>
      </w:pPr>
      <w:r w:rsidRPr="00552CEE">
        <w:rPr>
          <w:noProof/>
        </w:rPr>
        <w:drawing>
          <wp:inline distT="0" distB="0" distL="0" distR="0" wp14:anchorId="550336C1" wp14:editId="77684BC8">
            <wp:extent cx="5722822" cy="1742536"/>
            <wp:effectExtent l="0" t="0" r="0" b="0"/>
            <wp:docPr id="2042759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103" cy="1744753"/>
                    </a:xfrm>
                    <a:prstGeom prst="rect">
                      <a:avLst/>
                    </a:prstGeom>
                    <a:noFill/>
                  </pic:spPr>
                </pic:pic>
              </a:graphicData>
            </a:graphic>
          </wp:inline>
        </w:drawing>
      </w:r>
    </w:p>
    <w:p w14:paraId="1429C977" w14:textId="7E78B59A" w:rsidR="00C046A8" w:rsidRPr="00552CEE" w:rsidRDefault="00014EE9" w:rsidP="00014EE9">
      <w:pPr>
        <w:pStyle w:val="Caption"/>
      </w:pPr>
      <w:r w:rsidRPr="00552CEE">
        <w:t xml:space="preserve">Figure </w:t>
      </w:r>
      <w:fldSimple w:instr=" SEQ Figure \* ARABIC ">
        <w:r w:rsidR="00BA359F">
          <w:rPr>
            <w:noProof/>
          </w:rPr>
          <w:t>3</w:t>
        </w:r>
      </w:fldSimple>
      <w:r w:rsidRPr="00552CEE">
        <w:t xml:space="preserve">: impact of the public sector loan interest rate and a </w:t>
      </w:r>
      <w:r w:rsidR="00552CEE" w:rsidRPr="00552CEE">
        <w:t>sensitivity</w:t>
      </w:r>
      <w:r w:rsidRPr="00552CEE">
        <w:t xml:space="preserve"> </w:t>
      </w:r>
      <w:r w:rsidR="00552CEE" w:rsidRPr="00552CEE">
        <w:t>where</w:t>
      </w:r>
      <w:r w:rsidRPr="00552CEE">
        <w:t xml:space="preserve"> the loan is replaced by a grant. The let hand graph shows the impact on the SO profit after </w:t>
      </w:r>
      <w:r w:rsidR="00552CEE" w:rsidRPr="00552CEE">
        <w:t>servicing</w:t>
      </w:r>
      <w:r w:rsidRPr="00552CEE">
        <w:t xml:space="preserve"> the public sector debt and the right hand graph shows the increase in debt servicing costs as interest rates increase. </w:t>
      </w:r>
    </w:p>
    <w:p w14:paraId="24079A64" w14:textId="5423BFFE" w:rsidR="00C046A8" w:rsidRPr="00552CEE" w:rsidRDefault="008B5DF3" w:rsidP="008B5DF3">
      <w:pPr>
        <w:pStyle w:val="Heading3"/>
      </w:pPr>
      <w:r w:rsidRPr="00552CEE">
        <w:t>Impact of public sector debt tenor</w:t>
      </w:r>
    </w:p>
    <w:p w14:paraId="0A708554" w14:textId="77777777" w:rsidR="001B6A97" w:rsidRPr="00552CEE" w:rsidRDefault="001B6A97" w:rsidP="001B6A97">
      <w:r w:rsidRPr="00552CEE">
        <w:t>The base case assumes a 20-year repayment period for public sector debt. Extending the repayment period reduces annual debt servicing costs, improving short-term cash flow for the SO organisation. The trade-off is that, unless the loan is interest-free, total lifetime interest payments increase. However, a longer loan tenor can be beneficial in managing the period after the CfD ends, when project margins may be tighter.</w:t>
      </w:r>
    </w:p>
    <w:p w14:paraId="19B792E7" w14:textId="77777777" w:rsidR="001B6A97" w:rsidRPr="00552CEE" w:rsidRDefault="001B6A97" w:rsidP="001B6A97">
      <w:r w:rsidRPr="00552CEE">
        <w:t>For example, extending the loan from 20 years to 30 years reduces annual debt servicing costs by around £150,000 per year, but increases total lifetime repayments by approximately £960,000.</w:t>
      </w:r>
    </w:p>
    <w:p w14:paraId="328B61EA" w14:textId="77777777" w:rsidR="001B6A97" w:rsidRPr="00552CEE" w:rsidRDefault="001B6A97" w:rsidP="001B6A97">
      <w:r w:rsidRPr="00552CEE">
        <w:t>An alternative approach is to shorten the loan tenor so that the debt is fully repaid by the end of the CfD period. This increases annual debt servicing costs by around £150,000 per year relative to the base case and approximately halves the profit available to the SO organisation during the first 15 years of operation. However, it removes the risk of needing to service debt during the early merchant period and results in higher operating profit in later years.</w:t>
      </w:r>
    </w:p>
    <w:p w14:paraId="06478253" w14:textId="24BF30B6" w:rsidR="001B6A97" w:rsidRPr="00552CEE" w:rsidRDefault="00F549FB" w:rsidP="001B6A97">
      <w:pPr>
        <w:spacing w:after="0" w:line="23" w:lineRule="atLeast"/>
      </w:pPr>
      <w:r>
        <w:lastRenderedPageBreak/>
        <w:t xml:space="preserve">Finally, as shown in the solar example, if a project has an AR7 rather than AR6 CfD, the CfD period lasts 20 rather than 15 years. This could better align certain and higher revenues with the public sector loan period. </w:t>
      </w:r>
    </w:p>
    <w:p w14:paraId="005F4BF3" w14:textId="77777777" w:rsidR="001B6A97" w:rsidRPr="00552CEE" w:rsidRDefault="001B6A97" w:rsidP="001B6A97"/>
    <w:p w14:paraId="50A1EEF6" w14:textId="77777777" w:rsidR="008B5DF3" w:rsidRPr="00552CEE" w:rsidRDefault="008B5DF3" w:rsidP="008B5DF3">
      <w:pPr>
        <w:keepNext/>
        <w:jc w:val="center"/>
      </w:pPr>
      <w:r w:rsidRPr="00552CEE">
        <w:rPr>
          <w:noProof/>
        </w:rPr>
        <w:drawing>
          <wp:inline distT="0" distB="0" distL="0" distR="0" wp14:anchorId="299FEF9E" wp14:editId="2D5775B6">
            <wp:extent cx="5058852" cy="2915402"/>
            <wp:effectExtent l="0" t="0" r="8890" b="0"/>
            <wp:docPr id="1545351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76660" cy="2925665"/>
                    </a:xfrm>
                    <a:prstGeom prst="rect">
                      <a:avLst/>
                    </a:prstGeom>
                    <a:noFill/>
                  </pic:spPr>
                </pic:pic>
              </a:graphicData>
            </a:graphic>
          </wp:inline>
        </w:drawing>
      </w:r>
    </w:p>
    <w:p w14:paraId="0B746651" w14:textId="7AA99672" w:rsidR="008B5DF3" w:rsidRPr="00552CEE" w:rsidRDefault="008B5DF3" w:rsidP="008B5DF3">
      <w:pPr>
        <w:pStyle w:val="Caption"/>
        <w:jc w:val="center"/>
      </w:pPr>
      <w:r w:rsidRPr="00552CEE">
        <w:t xml:space="preserve">Figure </w:t>
      </w:r>
      <w:fldSimple w:instr=" SEQ Figure \* ARABIC ">
        <w:r w:rsidR="00BA359F">
          <w:rPr>
            <w:noProof/>
          </w:rPr>
          <w:t>4</w:t>
        </w:r>
      </w:fldSimple>
      <w:r w:rsidRPr="00552CEE">
        <w:t xml:space="preserve">: Impact of public sector debt tenor. (a) shows the reduction in annual debt servicing costs as tenor increases; (b) shows the trade off with increasing total debt repayments and (c) shows the impact on usable SO profit during and following the CfD period. Note that in (c) where the </w:t>
      </w:r>
      <w:r w:rsidR="009A1411" w:rsidRPr="00552CEE">
        <w:t>tenor is 15 years, the debt is fully paid off before the post-CfD period begins.</w:t>
      </w:r>
      <w:r w:rsidRPr="00552CEE">
        <w:t xml:space="preserve"> </w:t>
      </w:r>
    </w:p>
    <w:p w14:paraId="15A138F2" w14:textId="77777777" w:rsidR="00B306B0" w:rsidRPr="00552CEE" w:rsidRDefault="00B306B0" w:rsidP="00B306B0"/>
    <w:p w14:paraId="5968CC78" w14:textId="1C20BCE7" w:rsidR="00B306B0" w:rsidRPr="00552CEE" w:rsidRDefault="00B306B0" w:rsidP="00B306B0">
      <w:pPr>
        <w:pStyle w:val="Heading3"/>
      </w:pPr>
      <w:r w:rsidRPr="00552CEE">
        <w:t xml:space="preserve">Impact of commercial debt interest rate </w:t>
      </w:r>
      <w:r w:rsidR="00D151A4">
        <w:t xml:space="preserve">on a </w:t>
      </w:r>
      <w:r w:rsidRPr="00552CEE">
        <w:t xml:space="preserve">project-finance </w:t>
      </w:r>
      <w:r w:rsidR="00D151A4">
        <w:t>project</w:t>
      </w:r>
    </w:p>
    <w:p w14:paraId="1533F467" w14:textId="5388206C" w:rsidR="004C129F" w:rsidRPr="00552CEE" w:rsidRDefault="004C129F" w:rsidP="004C129F">
      <w:r w:rsidRPr="00552CEE">
        <w:t xml:space="preserve">When acquiring a stake in an SPV that carries commercial debt, the value of that equity stake is directly influenced by the cost of servicing the debt. These servicing costs are determined by the interest rate charged by the commercial lender, as illustrated in </w:t>
      </w:r>
      <w:r w:rsidRPr="00552CEE">
        <w:fldChar w:fldCharType="begin"/>
      </w:r>
      <w:r w:rsidRPr="00552CEE">
        <w:instrText xml:space="preserve"> REF _Ref225974819 \h </w:instrText>
      </w:r>
      <w:r w:rsidRPr="00552CEE">
        <w:fldChar w:fldCharType="separate"/>
      </w:r>
      <w:r w:rsidR="00BA359F" w:rsidRPr="00552CEE">
        <w:t xml:space="preserve">Figure </w:t>
      </w:r>
      <w:r w:rsidR="00BA359F">
        <w:rPr>
          <w:noProof/>
        </w:rPr>
        <w:t>5</w:t>
      </w:r>
      <w:r w:rsidRPr="00552CEE">
        <w:fldChar w:fldCharType="end"/>
      </w:r>
      <w:r w:rsidRPr="00552CEE">
        <w:t>.</w:t>
      </w:r>
    </w:p>
    <w:p w14:paraId="0533C001" w14:textId="77777777" w:rsidR="004C129F" w:rsidRPr="00552CEE" w:rsidRDefault="004C129F" w:rsidP="004C129F">
      <w:r w:rsidRPr="00552CEE">
        <w:t>At present, UK Government bond yields are around 4.5%, meaning that commercial debt is unlikely to be available at rates below approximately 6% and may be higher depending on market conditions and project risk.</w:t>
      </w:r>
    </w:p>
    <w:p w14:paraId="2D599CC3" w14:textId="0FA37510" w:rsidR="004C129F" w:rsidRPr="00552CEE" w:rsidRDefault="004C129F" w:rsidP="004C129F">
      <w:r w:rsidRPr="00552CEE">
        <w:t>Across the range modelled</w:t>
      </w:r>
      <w:r w:rsidR="00240CBC" w:rsidRPr="00552CEE">
        <w:t xml:space="preserve"> and as shown in </w:t>
      </w:r>
      <w:r w:rsidRPr="00552CEE">
        <w:fldChar w:fldCharType="begin"/>
      </w:r>
      <w:r w:rsidRPr="00552CEE">
        <w:instrText xml:space="preserve"> REF _Ref225974819 \h </w:instrText>
      </w:r>
      <w:r w:rsidRPr="00552CEE">
        <w:fldChar w:fldCharType="separate"/>
      </w:r>
      <w:r w:rsidR="00BA359F" w:rsidRPr="00552CEE">
        <w:t xml:space="preserve">Figure </w:t>
      </w:r>
      <w:r w:rsidR="00BA359F">
        <w:rPr>
          <w:noProof/>
        </w:rPr>
        <w:t>5</w:t>
      </w:r>
      <w:r w:rsidRPr="00552CEE">
        <w:fldChar w:fldCharType="end"/>
      </w:r>
      <w:r w:rsidRPr="00552CEE">
        <w:t>, each one percentage point increase in the commercial debt interest rate reduces the value of the shared equity stake (20% of project value) by between £410</w:t>
      </w:r>
      <w:r w:rsidR="005E387A">
        <w:t>,0</w:t>
      </w:r>
      <w:r w:rsidRPr="00552CEE">
        <w:t>00 and £49</w:t>
      </w:r>
      <w:r w:rsidR="005E387A">
        <w:t>0,0</w:t>
      </w:r>
      <w:r w:rsidRPr="00552CEE">
        <w:t>00.</w:t>
      </w:r>
    </w:p>
    <w:p w14:paraId="41E7D9D9" w14:textId="77777777" w:rsidR="00B306B0" w:rsidRPr="00552CEE" w:rsidRDefault="00B306B0" w:rsidP="002C694A"/>
    <w:p w14:paraId="769D2D39" w14:textId="77777777" w:rsidR="00B306B0" w:rsidRPr="00552CEE" w:rsidRDefault="00B306B0" w:rsidP="00B306B0">
      <w:pPr>
        <w:keepNext/>
      </w:pPr>
      <w:r w:rsidRPr="00552CEE">
        <w:rPr>
          <w:noProof/>
        </w:rPr>
        <w:lastRenderedPageBreak/>
        <w:drawing>
          <wp:inline distT="0" distB="0" distL="0" distR="0" wp14:anchorId="64148852" wp14:editId="02BEAC87">
            <wp:extent cx="5901690" cy="2486107"/>
            <wp:effectExtent l="0" t="0" r="0" b="0"/>
            <wp:docPr id="1770229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t="11342"/>
                    <a:stretch>
                      <a:fillRect/>
                    </a:stretch>
                  </pic:blipFill>
                  <pic:spPr bwMode="auto">
                    <a:xfrm>
                      <a:off x="0" y="0"/>
                      <a:ext cx="5901690" cy="2486107"/>
                    </a:xfrm>
                    <a:prstGeom prst="rect">
                      <a:avLst/>
                    </a:prstGeom>
                    <a:noFill/>
                    <a:ln>
                      <a:noFill/>
                    </a:ln>
                    <a:extLst>
                      <a:ext uri="{53640926-AAD7-44D8-BBD7-CCE9431645EC}">
                        <a14:shadowObscured xmlns:a14="http://schemas.microsoft.com/office/drawing/2010/main"/>
                      </a:ext>
                    </a:extLst>
                  </pic:spPr>
                </pic:pic>
              </a:graphicData>
            </a:graphic>
          </wp:inline>
        </w:drawing>
      </w:r>
    </w:p>
    <w:p w14:paraId="06DCEA48" w14:textId="51A07AC8" w:rsidR="00B306B0" w:rsidRPr="00552CEE" w:rsidRDefault="00B306B0" w:rsidP="00B306B0">
      <w:pPr>
        <w:pStyle w:val="Caption"/>
      </w:pPr>
      <w:bookmarkStart w:id="11" w:name="_Ref225974819"/>
      <w:r w:rsidRPr="00552CEE">
        <w:t xml:space="preserve">Figure </w:t>
      </w:r>
      <w:fldSimple w:instr=" SEQ Figure \* ARABIC ">
        <w:r w:rsidR="00BA359F">
          <w:rPr>
            <w:noProof/>
          </w:rPr>
          <w:t>5</w:t>
        </w:r>
      </w:fldSimple>
      <w:bookmarkEnd w:id="11"/>
      <w:r w:rsidRPr="00552CEE">
        <w:t xml:space="preserve">:  sensitivity to commercial interest rates. (a) shows the impact on the value of 20% share in the SPV and therefore the purchase price for the SO organisation. (b) shows the impact on commercial debt servicing costs to the SO organisation and the final SO profit. </w:t>
      </w:r>
    </w:p>
    <w:p w14:paraId="0BB5D2E8" w14:textId="77777777" w:rsidR="00B306B0" w:rsidRPr="00552CEE" w:rsidRDefault="00B306B0" w:rsidP="00B306B0"/>
    <w:p w14:paraId="6A63ABE8" w14:textId="77777777" w:rsidR="000F31E7" w:rsidRPr="00552CEE" w:rsidRDefault="000F31E7" w:rsidP="00B306B0">
      <w:pPr>
        <w:sectPr w:rsidR="000F31E7" w:rsidRPr="00552CEE">
          <w:pgSz w:w="11906" w:h="16838"/>
          <w:pgMar w:top="1440" w:right="1440" w:bottom="1440" w:left="1440" w:header="708" w:footer="708" w:gutter="0"/>
          <w:cols w:space="708"/>
          <w:docGrid w:linePitch="360"/>
        </w:sectPr>
      </w:pPr>
    </w:p>
    <w:p w14:paraId="4872779D" w14:textId="2D449108" w:rsidR="000F31E7" w:rsidRPr="00552CEE" w:rsidRDefault="000F31E7" w:rsidP="000F31E7">
      <w:pPr>
        <w:pStyle w:val="Heading1"/>
      </w:pPr>
      <w:r w:rsidRPr="00552CEE">
        <w:lastRenderedPageBreak/>
        <w:t>Solar</w:t>
      </w:r>
    </w:p>
    <w:p w14:paraId="2DF9A352" w14:textId="0A625F69" w:rsidR="004C2175" w:rsidRPr="00552CEE" w:rsidRDefault="004C2175" w:rsidP="004C2175">
      <w:r w:rsidRPr="00552CEE">
        <w:t xml:space="preserve">A similar solar illustration has been modelled to complement the wind examples. Solar projects in Scotland can achieve reasonable load factors, particularly in </w:t>
      </w:r>
      <w:r w:rsidR="005E387A">
        <w:t xml:space="preserve">sunnier </w:t>
      </w:r>
      <w:r w:rsidRPr="00552CEE">
        <w:t xml:space="preserve">areas towards the east coast where annual solar irradiance is highest. Solar projects may also </w:t>
      </w:r>
      <w:r w:rsidR="005E387A">
        <w:t xml:space="preserve">have </w:t>
      </w:r>
      <w:r w:rsidRPr="00552CEE">
        <w:t xml:space="preserve">lower technical risk than wind, as the assets are inherently simpler, with no moving parts, and therefore </w:t>
      </w:r>
      <w:r w:rsidR="005E387A">
        <w:t xml:space="preserve">solar projects can have </w:t>
      </w:r>
      <w:r w:rsidRPr="00552CEE">
        <w:t>more predictable maintenance requirements and costs.</w:t>
      </w:r>
      <w:r w:rsidR="005E387A">
        <w:t xml:space="preserve"> </w:t>
      </w:r>
      <w:r w:rsidRPr="00552CEE">
        <w:t>However, solar projects may offer lower rates of return compared with an equivalent wind</w:t>
      </w:r>
      <w:r w:rsidR="00032505">
        <w:t xml:space="preserve"> projects</w:t>
      </w:r>
      <w:r w:rsidRPr="00552CEE">
        <w:t>.</w:t>
      </w:r>
    </w:p>
    <w:p w14:paraId="5CFB4B44" w14:textId="0F9B3C9A" w:rsidR="004C2175" w:rsidRPr="00552CEE" w:rsidRDefault="004C2175" w:rsidP="004C2175">
      <w:r w:rsidRPr="00552CEE">
        <w:t>The illustrative solar project is based on a "split project" concept, where physical ownership of the asset is separated out. In this case, the shared ownership (SO) organisation owns specific panels, has its own land rental agreement, and enters into its own operation and maintenance contracts. If it participates pre-construction, the SO organisation would also be party to construction contracts</w:t>
      </w:r>
      <w:r w:rsidR="00032505">
        <w:t>. T</w:t>
      </w:r>
      <w:r w:rsidRPr="00552CEE">
        <w:t>hese could be aligned with those of the majority developer on site.</w:t>
      </w:r>
    </w:p>
    <w:p w14:paraId="2F835EAC" w14:textId="5873F57C" w:rsidR="004C2175" w:rsidRPr="00552CEE" w:rsidRDefault="004C2175" w:rsidP="004C2175">
      <w:r w:rsidRPr="00552CEE">
        <w:t>Split-site projects also entail additional costs</w:t>
      </w:r>
      <w:r w:rsidR="00032505">
        <w:t xml:space="preserve"> to the SO organisation</w:t>
      </w:r>
      <w:r w:rsidRPr="00552CEE">
        <w:t>, both upfront and ongoing. Upfront costs may include, for example, the installation of metering infrastructure to enable sharing of the grid connection with the commercial developer, while ongoing costs may arise from the more complex contractual and operational arrangements.</w:t>
      </w:r>
    </w:p>
    <w:p w14:paraId="7B1F49E0" w14:textId="6EA8B24D" w:rsidR="00373EEC" w:rsidRDefault="004C2175" w:rsidP="000F31E7">
      <w:r w:rsidRPr="00552CEE">
        <w:fldChar w:fldCharType="begin"/>
      </w:r>
      <w:r w:rsidRPr="00552CEE">
        <w:instrText xml:space="preserve"> REF _Ref225973088 \h </w:instrText>
      </w:r>
      <w:r w:rsidRPr="00552CEE">
        <w:fldChar w:fldCharType="separate"/>
      </w:r>
      <w:r w:rsidR="00BA359F" w:rsidRPr="00552CEE">
        <w:t xml:space="preserve">Table </w:t>
      </w:r>
      <w:r w:rsidR="00BA359F">
        <w:rPr>
          <w:noProof/>
        </w:rPr>
        <w:t>22</w:t>
      </w:r>
      <w:r w:rsidRPr="00552CEE">
        <w:fldChar w:fldCharType="end"/>
      </w:r>
      <w:r w:rsidRPr="00552CEE">
        <w:t xml:space="preserve"> sets out the key input assumptions for the project.</w:t>
      </w:r>
    </w:p>
    <w:p w14:paraId="1EC4036B" w14:textId="77777777" w:rsidR="00625C0B" w:rsidRDefault="00625C0B" w:rsidP="000F31E7"/>
    <w:p w14:paraId="53E32B41" w14:textId="77777777" w:rsidR="00625C0B" w:rsidRDefault="00625C0B" w:rsidP="000F31E7"/>
    <w:p w14:paraId="2BB288EC" w14:textId="77777777" w:rsidR="00625C0B" w:rsidRDefault="00625C0B" w:rsidP="000F31E7"/>
    <w:p w14:paraId="14C414FB" w14:textId="77777777" w:rsidR="00625C0B" w:rsidRDefault="00625C0B" w:rsidP="000F31E7"/>
    <w:p w14:paraId="46664EE0" w14:textId="77777777" w:rsidR="00625C0B" w:rsidRDefault="00625C0B" w:rsidP="000F31E7"/>
    <w:p w14:paraId="55044813" w14:textId="77777777" w:rsidR="00625C0B" w:rsidRDefault="00625C0B" w:rsidP="000F31E7"/>
    <w:p w14:paraId="00EDB4EB" w14:textId="77777777" w:rsidR="00625C0B" w:rsidRDefault="00625C0B" w:rsidP="000F31E7"/>
    <w:p w14:paraId="0724AB5C" w14:textId="77777777" w:rsidR="00625C0B" w:rsidRDefault="00625C0B" w:rsidP="000F31E7"/>
    <w:p w14:paraId="518EB2FD" w14:textId="77777777" w:rsidR="00625C0B" w:rsidRDefault="00625C0B" w:rsidP="000F31E7"/>
    <w:p w14:paraId="74122E26" w14:textId="77777777" w:rsidR="00625C0B" w:rsidRDefault="00625C0B" w:rsidP="000F31E7"/>
    <w:p w14:paraId="6E9ACFA7" w14:textId="77777777" w:rsidR="00625C0B" w:rsidRDefault="00625C0B" w:rsidP="000F31E7"/>
    <w:p w14:paraId="2E9C2A28" w14:textId="77777777" w:rsidR="00625C0B" w:rsidRDefault="00625C0B" w:rsidP="000F31E7"/>
    <w:p w14:paraId="595A5EEE" w14:textId="77777777" w:rsidR="00625C0B" w:rsidRDefault="00625C0B" w:rsidP="000F31E7"/>
    <w:p w14:paraId="01D13E00" w14:textId="77777777" w:rsidR="00625C0B" w:rsidRDefault="00625C0B" w:rsidP="000F31E7"/>
    <w:p w14:paraId="04D1CD99" w14:textId="77777777" w:rsidR="00625C0B" w:rsidRPr="00552CEE" w:rsidRDefault="00625C0B" w:rsidP="000F31E7"/>
    <w:p w14:paraId="53E0B6F4" w14:textId="20ACF8D3" w:rsidR="00DA5512" w:rsidRPr="00552CEE" w:rsidRDefault="00DA5512" w:rsidP="00DA5512">
      <w:pPr>
        <w:pStyle w:val="Caption"/>
        <w:keepNext/>
        <w:jc w:val="center"/>
      </w:pPr>
      <w:bookmarkStart w:id="12" w:name="_Ref225973088"/>
      <w:r w:rsidRPr="00552CEE">
        <w:t xml:space="preserve">Table </w:t>
      </w:r>
      <w:fldSimple w:instr=" SEQ Table \* ARABIC ">
        <w:r w:rsidR="00BA359F">
          <w:rPr>
            <w:noProof/>
          </w:rPr>
          <w:t>22</w:t>
        </w:r>
      </w:fldSimple>
      <w:bookmarkEnd w:id="12"/>
      <w:r w:rsidRPr="00552CEE">
        <w:t>: Input values for the solar example</w:t>
      </w:r>
    </w:p>
    <w:tbl>
      <w:tblPr>
        <w:tblStyle w:val="PlainTable2"/>
        <w:tblW w:w="9781" w:type="dxa"/>
        <w:tblLook w:val="04A0" w:firstRow="1" w:lastRow="0" w:firstColumn="1" w:lastColumn="0" w:noHBand="0" w:noVBand="1"/>
      </w:tblPr>
      <w:tblGrid>
        <w:gridCol w:w="2127"/>
        <w:gridCol w:w="3118"/>
        <w:gridCol w:w="4536"/>
      </w:tblGrid>
      <w:tr w:rsidR="00615EE5" w:rsidRPr="00552CEE" w14:paraId="25434B1E" w14:textId="77777777" w:rsidTr="003446B0">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127" w:type="dxa"/>
            <w:shd w:val="clear" w:color="auto" w:fill="AEAAAA" w:themeFill="background2" w:themeFillShade="BF"/>
            <w:hideMark/>
          </w:tcPr>
          <w:p w14:paraId="30E9D696" w14:textId="77777777" w:rsidR="00615EE5" w:rsidRPr="00552CEE" w:rsidRDefault="00615EE5" w:rsidP="003446B0">
            <w:pPr>
              <w:rPr>
                <w:sz w:val="18"/>
                <w:szCs w:val="18"/>
              </w:rPr>
            </w:pPr>
            <w:r w:rsidRPr="00552CEE">
              <w:rPr>
                <w:sz w:val="18"/>
                <w:szCs w:val="18"/>
              </w:rPr>
              <w:t>Parameter</w:t>
            </w:r>
          </w:p>
        </w:tc>
        <w:tc>
          <w:tcPr>
            <w:tcW w:w="3118" w:type="dxa"/>
            <w:shd w:val="clear" w:color="auto" w:fill="AEAAAA" w:themeFill="background2" w:themeFillShade="BF"/>
          </w:tcPr>
          <w:p w14:paraId="15D9FD6E" w14:textId="77777777" w:rsidR="00615EE5" w:rsidRPr="00552CEE" w:rsidRDefault="00615EE5" w:rsidP="003446B0">
            <w:pPr>
              <w:ind w:left="284" w:hanging="284"/>
              <w:cnfStyle w:val="100000000000" w:firstRow="1" w:lastRow="0" w:firstColumn="0" w:lastColumn="0" w:oddVBand="0" w:evenVBand="0" w:oddHBand="0" w:evenHBand="0" w:firstRowFirstColumn="0" w:firstRowLastColumn="0" w:lastRowFirstColumn="0" w:lastRowLastColumn="0"/>
              <w:rPr>
                <w:sz w:val="18"/>
                <w:szCs w:val="18"/>
              </w:rPr>
            </w:pPr>
            <w:r w:rsidRPr="00552CEE">
              <w:rPr>
                <w:sz w:val="18"/>
                <w:szCs w:val="18"/>
              </w:rPr>
              <w:t xml:space="preserve">Basecase </w:t>
            </w:r>
          </w:p>
        </w:tc>
        <w:tc>
          <w:tcPr>
            <w:tcW w:w="4536" w:type="dxa"/>
            <w:shd w:val="clear" w:color="auto" w:fill="AEAAAA" w:themeFill="background2" w:themeFillShade="BF"/>
          </w:tcPr>
          <w:p w14:paraId="66DC1CA1" w14:textId="77777777" w:rsidR="00615EE5" w:rsidRPr="00552CEE" w:rsidRDefault="00615EE5" w:rsidP="003446B0">
            <w:pPr>
              <w:ind w:left="284" w:hanging="284"/>
              <w:cnfStyle w:val="100000000000" w:firstRow="1" w:lastRow="0" w:firstColumn="0" w:lastColumn="0" w:oddVBand="0" w:evenVBand="0" w:oddHBand="0" w:evenHBand="0" w:firstRowFirstColumn="0" w:firstRowLastColumn="0" w:lastRowFirstColumn="0" w:lastRowLastColumn="0"/>
              <w:rPr>
                <w:sz w:val="18"/>
                <w:szCs w:val="18"/>
              </w:rPr>
            </w:pPr>
            <w:r w:rsidRPr="00552CEE">
              <w:rPr>
                <w:sz w:val="18"/>
                <w:szCs w:val="18"/>
              </w:rPr>
              <w:t>Comment</w:t>
            </w:r>
          </w:p>
        </w:tc>
      </w:tr>
      <w:tr w:rsidR="00615EE5" w:rsidRPr="00552CEE" w14:paraId="1B8F7775" w14:textId="77777777" w:rsidTr="003446B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127" w:type="dxa"/>
          </w:tcPr>
          <w:p w14:paraId="21A596B1" w14:textId="77777777" w:rsidR="00615EE5" w:rsidRPr="00552CEE" w:rsidRDefault="00615EE5" w:rsidP="003446B0">
            <w:pPr>
              <w:rPr>
                <w:sz w:val="18"/>
                <w:szCs w:val="18"/>
              </w:rPr>
            </w:pPr>
            <w:r w:rsidRPr="00552CEE">
              <w:rPr>
                <w:sz w:val="18"/>
                <w:szCs w:val="18"/>
              </w:rPr>
              <w:t>Capacity</w:t>
            </w:r>
          </w:p>
        </w:tc>
        <w:tc>
          <w:tcPr>
            <w:tcW w:w="3118" w:type="dxa"/>
          </w:tcPr>
          <w:p w14:paraId="6892C124" w14:textId="021EBA82" w:rsidR="00615EE5" w:rsidRPr="00552CEE" w:rsidRDefault="00615EE5" w:rsidP="003446B0">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50 MW</w:t>
            </w:r>
          </w:p>
        </w:tc>
        <w:tc>
          <w:tcPr>
            <w:tcW w:w="4536" w:type="dxa"/>
          </w:tcPr>
          <w:p w14:paraId="61086ECC" w14:textId="71CB944F" w:rsidR="00615EE5" w:rsidRPr="00552CEE" w:rsidRDefault="00615EE5" w:rsidP="003446B0">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 xml:space="preserve">Typical of current solar build out projects </w:t>
            </w:r>
          </w:p>
        </w:tc>
      </w:tr>
      <w:tr w:rsidR="00615EE5" w:rsidRPr="00552CEE" w14:paraId="0CD1D97B" w14:textId="77777777" w:rsidTr="008A33EF">
        <w:trPr>
          <w:trHeight w:val="456"/>
        </w:trPr>
        <w:tc>
          <w:tcPr>
            <w:cnfStyle w:val="001000000000" w:firstRow="0" w:lastRow="0" w:firstColumn="1" w:lastColumn="0" w:oddVBand="0" w:evenVBand="0" w:oddHBand="0" w:evenHBand="0" w:firstRowFirstColumn="0" w:firstRowLastColumn="0" w:lastRowFirstColumn="0" w:lastRowLastColumn="0"/>
            <w:tcW w:w="2127" w:type="dxa"/>
            <w:hideMark/>
          </w:tcPr>
          <w:p w14:paraId="3F64ACC5" w14:textId="77777777" w:rsidR="00615EE5" w:rsidRPr="00552CEE" w:rsidRDefault="00615EE5" w:rsidP="003446B0">
            <w:pPr>
              <w:rPr>
                <w:b w:val="0"/>
                <w:bCs w:val="0"/>
                <w:sz w:val="18"/>
                <w:szCs w:val="18"/>
              </w:rPr>
            </w:pPr>
            <w:r w:rsidRPr="00552CEE">
              <w:rPr>
                <w:sz w:val="18"/>
                <w:szCs w:val="18"/>
              </w:rPr>
              <w:t>Expected load factor</w:t>
            </w:r>
          </w:p>
        </w:tc>
        <w:tc>
          <w:tcPr>
            <w:tcW w:w="3118" w:type="dxa"/>
          </w:tcPr>
          <w:p w14:paraId="1444E945" w14:textId="08B26375" w:rsidR="00615EE5" w:rsidRPr="00552CEE" w:rsidRDefault="00615EE5" w:rsidP="003446B0">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11% uncurtailed</w:t>
            </w:r>
          </w:p>
          <w:p w14:paraId="1FCCBA25" w14:textId="3F37A4E3" w:rsidR="00615EE5" w:rsidRPr="00552CEE" w:rsidRDefault="00615EE5" w:rsidP="003446B0">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99% technical availability</w:t>
            </w:r>
          </w:p>
        </w:tc>
        <w:tc>
          <w:tcPr>
            <w:tcW w:w="4536" w:type="dxa"/>
          </w:tcPr>
          <w:p w14:paraId="0C0DE9DF" w14:textId="72EC145F" w:rsidR="00615EE5" w:rsidRPr="00552CEE" w:rsidRDefault="00615EE5" w:rsidP="003446B0">
            <w:pPr>
              <w:cnfStyle w:val="000000000000" w:firstRow="0" w:lastRow="0" w:firstColumn="0" w:lastColumn="0" w:oddVBand="0" w:evenVBand="0" w:oddHBand="0" w:evenHBand="0" w:firstRowFirstColumn="0" w:firstRowLastColumn="0" w:lastRowFirstColumn="0" w:lastRowLastColumn="0"/>
              <w:rPr>
                <w:sz w:val="18"/>
                <w:szCs w:val="18"/>
              </w:rPr>
            </w:pPr>
          </w:p>
        </w:tc>
      </w:tr>
      <w:tr w:rsidR="008A33EF" w:rsidRPr="00552CEE" w14:paraId="650904D5" w14:textId="77777777" w:rsidTr="003446B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127" w:type="dxa"/>
            <w:hideMark/>
          </w:tcPr>
          <w:p w14:paraId="69910E1F" w14:textId="77777777" w:rsidR="00615EE5" w:rsidRPr="00552CEE" w:rsidRDefault="00615EE5" w:rsidP="003446B0">
            <w:pPr>
              <w:rPr>
                <w:b w:val="0"/>
                <w:bCs w:val="0"/>
                <w:sz w:val="18"/>
                <w:szCs w:val="18"/>
              </w:rPr>
            </w:pPr>
            <w:r w:rsidRPr="00552CEE">
              <w:rPr>
                <w:sz w:val="18"/>
                <w:szCs w:val="18"/>
              </w:rPr>
              <w:t>CAPEX costs and spending profile</w:t>
            </w:r>
          </w:p>
        </w:tc>
        <w:tc>
          <w:tcPr>
            <w:tcW w:w="3118" w:type="dxa"/>
          </w:tcPr>
          <w:p w14:paraId="7CD7B9ED" w14:textId="659977BF" w:rsidR="00615EE5" w:rsidRPr="00552CEE" w:rsidRDefault="00615EE5" w:rsidP="003446B0">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w:t>
            </w:r>
            <w:r w:rsidR="00884EC4" w:rsidRPr="00552CEE">
              <w:rPr>
                <w:sz w:val="18"/>
                <w:szCs w:val="18"/>
              </w:rPr>
              <w:t>519</w:t>
            </w:r>
            <w:r w:rsidRPr="00552CEE">
              <w:rPr>
                <w:sz w:val="18"/>
                <w:szCs w:val="18"/>
              </w:rPr>
              <w:t xml:space="preserve"> / kW </w:t>
            </w:r>
          </w:p>
          <w:p w14:paraId="7CC48D7B" w14:textId="77777777" w:rsidR="00615EE5" w:rsidRPr="00552CEE" w:rsidRDefault="00615EE5" w:rsidP="003446B0">
            <w:pPr>
              <w:cnfStyle w:val="000000100000" w:firstRow="0" w:lastRow="0" w:firstColumn="0" w:lastColumn="0" w:oddVBand="0" w:evenVBand="0" w:oddHBand="1" w:evenHBand="0" w:firstRowFirstColumn="0" w:firstRowLastColumn="0" w:lastRowFirstColumn="0" w:lastRowLastColumn="0"/>
              <w:rPr>
                <w:b/>
                <w:bCs/>
                <w:sz w:val="18"/>
                <w:szCs w:val="18"/>
              </w:rPr>
            </w:pPr>
          </w:p>
        </w:tc>
        <w:tc>
          <w:tcPr>
            <w:tcW w:w="4536" w:type="dxa"/>
          </w:tcPr>
          <w:p w14:paraId="1B74A5CA" w14:textId="65D680C9" w:rsidR="00615EE5" w:rsidRPr="00552CEE" w:rsidRDefault="00615EE5" w:rsidP="003446B0">
            <w:pPr>
              <w:cnfStyle w:val="000000100000" w:firstRow="0" w:lastRow="0" w:firstColumn="0" w:lastColumn="0" w:oddVBand="0" w:evenVBand="0" w:oddHBand="1" w:evenHBand="0" w:firstRowFirstColumn="0" w:firstRowLastColumn="0" w:lastRowFirstColumn="0" w:lastRowLastColumn="0"/>
              <w:rPr>
                <w:sz w:val="18"/>
                <w:szCs w:val="18"/>
              </w:rPr>
            </w:pPr>
          </w:p>
        </w:tc>
      </w:tr>
      <w:tr w:rsidR="008A33EF" w:rsidRPr="00552CEE" w14:paraId="2C31B635" w14:textId="77777777" w:rsidTr="003446B0">
        <w:trPr>
          <w:trHeight w:val="485"/>
        </w:trPr>
        <w:tc>
          <w:tcPr>
            <w:cnfStyle w:val="001000000000" w:firstRow="0" w:lastRow="0" w:firstColumn="1" w:lastColumn="0" w:oddVBand="0" w:evenVBand="0" w:oddHBand="0" w:evenHBand="0" w:firstRowFirstColumn="0" w:firstRowLastColumn="0" w:lastRowFirstColumn="0" w:lastRowLastColumn="0"/>
            <w:tcW w:w="2127" w:type="dxa"/>
            <w:hideMark/>
          </w:tcPr>
          <w:p w14:paraId="260B400A" w14:textId="77777777" w:rsidR="00615EE5" w:rsidRPr="00552CEE" w:rsidRDefault="00615EE5" w:rsidP="003446B0">
            <w:pPr>
              <w:rPr>
                <w:b w:val="0"/>
                <w:bCs w:val="0"/>
                <w:sz w:val="18"/>
                <w:szCs w:val="18"/>
              </w:rPr>
            </w:pPr>
            <w:r w:rsidRPr="00552CEE">
              <w:rPr>
                <w:sz w:val="18"/>
                <w:szCs w:val="18"/>
              </w:rPr>
              <w:t>Grid connection costs</w:t>
            </w:r>
          </w:p>
        </w:tc>
        <w:tc>
          <w:tcPr>
            <w:tcW w:w="3118" w:type="dxa"/>
          </w:tcPr>
          <w:p w14:paraId="18A47F40" w14:textId="34B06819" w:rsidR="00615EE5" w:rsidRPr="00552CEE" w:rsidRDefault="00615EE5" w:rsidP="003446B0">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w:t>
            </w:r>
            <w:r w:rsidR="00884EC4" w:rsidRPr="00552CEE">
              <w:rPr>
                <w:sz w:val="18"/>
                <w:szCs w:val="18"/>
              </w:rPr>
              <w:t>117</w:t>
            </w:r>
            <w:r w:rsidRPr="00552CEE">
              <w:rPr>
                <w:sz w:val="18"/>
                <w:szCs w:val="18"/>
              </w:rPr>
              <w:t xml:space="preserve"> / kW</w:t>
            </w:r>
          </w:p>
          <w:p w14:paraId="4E619C25" w14:textId="77777777" w:rsidR="00615EE5" w:rsidRPr="00552CEE" w:rsidRDefault="00615EE5" w:rsidP="003446B0">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4536" w:type="dxa"/>
          </w:tcPr>
          <w:p w14:paraId="11B01C13" w14:textId="71179E05" w:rsidR="00615EE5" w:rsidRPr="00552CEE" w:rsidRDefault="00615EE5" w:rsidP="003446B0">
            <w:pPr>
              <w:cnfStyle w:val="000000000000" w:firstRow="0" w:lastRow="0" w:firstColumn="0" w:lastColumn="0" w:oddVBand="0" w:evenVBand="0" w:oddHBand="0" w:evenHBand="0" w:firstRowFirstColumn="0" w:firstRowLastColumn="0" w:lastRowFirstColumn="0" w:lastRowLastColumn="0"/>
              <w:rPr>
                <w:sz w:val="18"/>
                <w:szCs w:val="18"/>
              </w:rPr>
            </w:pPr>
          </w:p>
        </w:tc>
      </w:tr>
      <w:tr w:rsidR="00615EE5" w:rsidRPr="00552CEE" w14:paraId="0788153E" w14:textId="77777777" w:rsidTr="003446B0">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127" w:type="dxa"/>
            <w:hideMark/>
          </w:tcPr>
          <w:p w14:paraId="0A27D6AA" w14:textId="77777777" w:rsidR="00615EE5" w:rsidRPr="00552CEE" w:rsidRDefault="00615EE5" w:rsidP="003446B0">
            <w:pPr>
              <w:rPr>
                <w:b w:val="0"/>
                <w:bCs w:val="0"/>
                <w:sz w:val="18"/>
                <w:szCs w:val="18"/>
              </w:rPr>
            </w:pPr>
            <w:r w:rsidRPr="00552CEE">
              <w:rPr>
                <w:sz w:val="18"/>
                <w:szCs w:val="18"/>
              </w:rPr>
              <w:t>Annual fixed O&amp;M</w:t>
            </w:r>
          </w:p>
        </w:tc>
        <w:tc>
          <w:tcPr>
            <w:tcW w:w="3118" w:type="dxa"/>
          </w:tcPr>
          <w:p w14:paraId="3562EF35" w14:textId="675D43E5" w:rsidR="00615EE5" w:rsidRPr="00552CEE" w:rsidRDefault="00615EE5" w:rsidP="003446B0">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w:t>
            </w:r>
            <w:r w:rsidR="00884EC4" w:rsidRPr="00552CEE">
              <w:rPr>
                <w:lang w:val="en-GB"/>
              </w:rPr>
              <w:t>6.13</w:t>
            </w:r>
            <w:r w:rsidRPr="00552CEE">
              <w:rPr>
                <w:lang w:val="en-GB"/>
              </w:rPr>
              <w:t xml:space="preserve"> / kW</w:t>
            </w:r>
          </w:p>
          <w:p w14:paraId="4A827730" w14:textId="77777777" w:rsidR="00615EE5" w:rsidRPr="00552CEE" w:rsidRDefault="00615EE5" w:rsidP="003446B0">
            <w:pPr>
              <w:pStyle w:val="ListinTable"/>
              <w:ind w:left="0" w:firstLine="0"/>
              <w:cnfStyle w:val="000000100000" w:firstRow="0" w:lastRow="0" w:firstColumn="0" w:lastColumn="0" w:oddVBand="0" w:evenVBand="0" w:oddHBand="1" w:evenHBand="0" w:firstRowFirstColumn="0" w:firstRowLastColumn="0" w:lastRowFirstColumn="0" w:lastRowLastColumn="0"/>
              <w:rPr>
                <w:b/>
                <w:bCs/>
                <w:lang w:val="en-GB"/>
              </w:rPr>
            </w:pPr>
          </w:p>
        </w:tc>
        <w:tc>
          <w:tcPr>
            <w:tcW w:w="4536" w:type="dxa"/>
          </w:tcPr>
          <w:p w14:paraId="0A234E86" w14:textId="32162173" w:rsidR="00615EE5" w:rsidRPr="00552CEE" w:rsidRDefault="00615EE5" w:rsidP="003446B0">
            <w:pPr>
              <w:cnfStyle w:val="000000100000" w:firstRow="0" w:lastRow="0" w:firstColumn="0" w:lastColumn="0" w:oddVBand="0" w:evenVBand="0" w:oddHBand="1" w:evenHBand="0" w:firstRowFirstColumn="0" w:firstRowLastColumn="0" w:lastRowFirstColumn="0" w:lastRowLastColumn="0"/>
              <w:rPr>
                <w:sz w:val="18"/>
                <w:szCs w:val="18"/>
              </w:rPr>
            </w:pPr>
          </w:p>
        </w:tc>
      </w:tr>
      <w:tr w:rsidR="00615EE5" w:rsidRPr="00552CEE" w14:paraId="54C127C5" w14:textId="77777777" w:rsidTr="003446B0">
        <w:trPr>
          <w:trHeight w:val="234"/>
        </w:trPr>
        <w:tc>
          <w:tcPr>
            <w:cnfStyle w:val="001000000000" w:firstRow="0" w:lastRow="0" w:firstColumn="1" w:lastColumn="0" w:oddVBand="0" w:evenVBand="0" w:oddHBand="0" w:evenHBand="0" w:firstRowFirstColumn="0" w:firstRowLastColumn="0" w:lastRowFirstColumn="0" w:lastRowLastColumn="0"/>
            <w:tcW w:w="2127" w:type="dxa"/>
            <w:hideMark/>
          </w:tcPr>
          <w:p w14:paraId="0AA3A599" w14:textId="77777777" w:rsidR="00615EE5" w:rsidRPr="00552CEE" w:rsidRDefault="00615EE5" w:rsidP="003446B0">
            <w:pPr>
              <w:rPr>
                <w:b w:val="0"/>
                <w:bCs w:val="0"/>
                <w:sz w:val="18"/>
                <w:szCs w:val="18"/>
              </w:rPr>
            </w:pPr>
            <w:r w:rsidRPr="00552CEE">
              <w:rPr>
                <w:sz w:val="18"/>
                <w:szCs w:val="18"/>
              </w:rPr>
              <w:t>Variable O&amp;M</w:t>
            </w:r>
          </w:p>
        </w:tc>
        <w:tc>
          <w:tcPr>
            <w:tcW w:w="3118" w:type="dxa"/>
          </w:tcPr>
          <w:p w14:paraId="4314894B" w14:textId="64A243B8" w:rsidR="00615EE5" w:rsidRPr="00552CEE" w:rsidRDefault="00615EE5" w:rsidP="003446B0">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w:t>
            </w:r>
            <w:r w:rsidR="00884EC4" w:rsidRPr="00552CEE">
              <w:rPr>
                <w:lang w:val="en-GB"/>
              </w:rPr>
              <w:t>0</w:t>
            </w:r>
            <w:r w:rsidRPr="00552CEE">
              <w:rPr>
                <w:lang w:val="en-GB"/>
              </w:rPr>
              <w:t xml:space="preserve"> / MWh</w:t>
            </w:r>
          </w:p>
          <w:p w14:paraId="0ED2E872" w14:textId="77777777" w:rsidR="00615EE5" w:rsidRPr="00552CEE" w:rsidRDefault="00615EE5" w:rsidP="003446B0">
            <w:pPr>
              <w:pStyle w:val="ListinTable"/>
              <w:ind w:left="0" w:firstLine="0"/>
              <w:cnfStyle w:val="000000000000" w:firstRow="0" w:lastRow="0" w:firstColumn="0" w:lastColumn="0" w:oddVBand="0" w:evenVBand="0" w:oddHBand="0" w:evenHBand="0" w:firstRowFirstColumn="0" w:firstRowLastColumn="0" w:lastRowFirstColumn="0" w:lastRowLastColumn="0"/>
              <w:rPr>
                <w:b/>
                <w:bCs/>
                <w:lang w:val="en-GB"/>
              </w:rPr>
            </w:pPr>
          </w:p>
        </w:tc>
        <w:tc>
          <w:tcPr>
            <w:tcW w:w="4536" w:type="dxa"/>
          </w:tcPr>
          <w:p w14:paraId="4C2C262B" w14:textId="160E0788" w:rsidR="00615EE5" w:rsidRPr="00552CEE" w:rsidRDefault="00615EE5" w:rsidP="003446B0">
            <w:pPr>
              <w:cnfStyle w:val="000000000000" w:firstRow="0" w:lastRow="0" w:firstColumn="0" w:lastColumn="0" w:oddVBand="0" w:evenVBand="0" w:oddHBand="0" w:evenHBand="0" w:firstRowFirstColumn="0" w:firstRowLastColumn="0" w:lastRowFirstColumn="0" w:lastRowLastColumn="0"/>
              <w:rPr>
                <w:b/>
                <w:bCs/>
                <w:sz w:val="18"/>
                <w:szCs w:val="18"/>
              </w:rPr>
            </w:pPr>
          </w:p>
        </w:tc>
      </w:tr>
      <w:tr w:rsidR="00615EE5" w:rsidRPr="00552CEE" w14:paraId="6B531A60" w14:textId="77777777" w:rsidTr="003446B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tcPr>
          <w:p w14:paraId="111F9CD7" w14:textId="77777777" w:rsidR="00615EE5" w:rsidRPr="00552CEE" w:rsidRDefault="00615EE5" w:rsidP="003446B0">
            <w:pPr>
              <w:rPr>
                <w:b w:val="0"/>
                <w:bCs w:val="0"/>
                <w:sz w:val="18"/>
                <w:szCs w:val="18"/>
              </w:rPr>
            </w:pPr>
            <w:r w:rsidRPr="00552CEE">
              <w:rPr>
                <w:sz w:val="18"/>
                <w:szCs w:val="18"/>
              </w:rPr>
              <w:t>TNUoS</w:t>
            </w:r>
          </w:p>
        </w:tc>
        <w:tc>
          <w:tcPr>
            <w:tcW w:w="3118" w:type="dxa"/>
          </w:tcPr>
          <w:p w14:paraId="04D0A9A5" w14:textId="667EB421" w:rsidR="00615EE5" w:rsidRPr="00552CEE" w:rsidRDefault="00615EE5" w:rsidP="003446B0">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w:t>
            </w:r>
            <w:r w:rsidR="00EC0BF0" w:rsidRPr="00552CEE">
              <w:rPr>
                <w:lang w:val="en-GB"/>
              </w:rPr>
              <w:t>4.60</w:t>
            </w:r>
            <w:r w:rsidRPr="00552CEE">
              <w:rPr>
                <w:lang w:val="en-GB"/>
              </w:rPr>
              <w:t xml:space="preserve"> / kW in 202</w:t>
            </w:r>
            <w:r w:rsidR="003220F2" w:rsidRPr="00552CEE">
              <w:rPr>
                <w:lang w:val="en-GB"/>
              </w:rPr>
              <w:t>8</w:t>
            </w:r>
            <w:r w:rsidRPr="00552CEE">
              <w:rPr>
                <w:lang w:val="en-GB"/>
              </w:rPr>
              <w:t xml:space="preserve"> rising to </w:t>
            </w:r>
            <w:r w:rsidR="003220F2" w:rsidRPr="00552CEE">
              <w:rPr>
                <w:lang w:val="en-GB"/>
              </w:rPr>
              <w:t xml:space="preserve">       </w:t>
            </w:r>
            <w:r w:rsidRPr="00552CEE">
              <w:rPr>
                <w:lang w:val="en-GB"/>
              </w:rPr>
              <w:t>£</w:t>
            </w:r>
            <w:r w:rsidR="003220F2" w:rsidRPr="00552CEE">
              <w:rPr>
                <w:lang w:val="en-GB"/>
              </w:rPr>
              <w:t>15.69</w:t>
            </w:r>
            <w:r w:rsidRPr="00552CEE">
              <w:rPr>
                <w:lang w:val="en-GB"/>
              </w:rPr>
              <w:t xml:space="preserve"> /kW in 2033 and remaining constant for the rest of the operating timescale</w:t>
            </w:r>
          </w:p>
          <w:p w14:paraId="5408C1A2" w14:textId="77777777" w:rsidR="00615EE5" w:rsidRPr="00552CEE" w:rsidRDefault="00615EE5" w:rsidP="003446B0">
            <w:pPr>
              <w:pStyle w:val="ListinTable"/>
              <w:ind w:left="0" w:firstLine="0"/>
              <w:cnfStyle w:val="000000100000" w:firstRow="0" w:lastRow="0" w:firstColumn="0" w:lastColumn="0" w:oddVBand="0" w:evenVBand="0" w:oddHBand="1" w:evenHBand="0" w:firstRowFirstColumn="0" w:firstRowLastColumn="0" w:lastRowFirstColumn="0" w:lastRowLastColumn="0"/>
              <w:rPr>
                <w:b/>
                <w:bCs/>
                <w:lang w:val="en-GB"/>
              </w:rPr>
            </w:pPr>
          </w:p>
        </w:tc>
        <w:tc>
          <w:tcPr>
            <w:tcW w:w="4536" w:type="dxa"/>
          </w:tcPr>
          <w:p w14:paraId="6EF94182" w14:textId="77777777" w:rsidR="00615EE5" w:rsidRPr="00552CEE" w:rsidRDefault="00615EE5" w:rsidP="003446B0">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 xml:space="preserve">This is based on expected TNUoS charges for the Southeast Scotland Lothians region and is broadly reflective of the 2023 ‘Ten Year Forecast’ and 2025 ‘five-year forecast from NESO.  </w:t>
            </w:r>
          </w:p>
        </w:tc>
      </w:tr>
      <w:tr w:rsidR="00615EE5" w:rsidRPr="00552CEE" w14:paraId="0AFE8ADD" w14:textId="77777777" w:rsidTr="003446B0">
        <w:trPr>
          <w:trHeight w:val="234"/>
        </w:trPr>
        <w:tc>
          <w:tcPr>
            <w:cnfStyle w:val="001000000000" w:firstRow="0" w:lastRow="0" w:firstColumn="1" w:lastColumn="0" w:oddVBand="0" w:evenVBand="0" w:oddHBand="0" w:evenHBand="0" w:firstRowFirstColumn="0" w:firstRowLastColumn="0" w:lastRowFirstColumn="0" w:lastRowLastColumn="0"/>
            <w:tcW w:w="2127" w:type="dxa"/>
          </w:tcPr>
          <w:p w14:paraId="6E27C258" w14:textId="7EA56AD9" w:rsidR="00615EE5" w:rsidRPr="00552CEE" w:rsidRDefault="00615EE5" w:rsidP="003446B0">
            <w:pPr>
              <w:rPr>
                <w:b w:val="0"/>
                <w:bCs w:val="0"/>
                <w:sz w:val="18"/>
                <w:szCs w:val="18"/>
              </w:rPr>
            </w:pPr>
            <w:r w:rsidRPr="00552CEE">
              <w:rPr>
                <w:sz w:val="18"/>
                <w:szCs w:val="18"/>
              </w:rPr>
              <w:t xml:space="preserve">CfD price (for years 1 – </w:t>
            </w:r>
            <w:r w:rsidR="008A33EF" w:rsidRPr="00552CEE">
              <w:rPr>
                <w:sz w:val="18"/>
                <w:szCs w:val="18"/>
              </w:rPr>
              <w:t>20</w:t>
            </w:r>
            <w:r w:rsidRPr="00552CEE">
              <w:rPr>
                <w:sz w:val="18"/>
                <w:szCs w:val="18"/>
              </w:rPr>
              <w:t>)</w:t>
            </w:r>
          </w:p>
        </w:tc>
        <w:tc>
          <w:tcPr>
            <w:tcW w:w="3118" w:type="dxa"/>
          </w:tcPr>
          <w:p w14:paraId="06579259" w14:textId="5B576520" w:rsidR="00615EE5" w:rsidRPr="00552CEE" w:rsidRDefault="00615EE5" w:rsidP="003446B0">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w:t>
            </w:r>
            <w:r w:rsidR="008A33EF" w:rsidRPr="00552CEE">
              <w:rPr>
                <w:lang w:val="en-GB"/>
              </w:rPr>
              <w:t>67.30</w:t>
            </w:r>
            <w:r w:rsidRPr="00552CEE">
              <w:rPr>
                <w:lang w:val="en-GB"/>
              </w:rPr>
              <w:t xml:space="preserve"> / MWh (2025 prices) </w:t>
            </w:r>
          </w:p>
          <w:p w14:paraId="1A94B7E0" w14:textId="77777777" w:rsidR="00615EE5" w:rsidRPr="00552CEE" w:rsidRDefault="00615EE5" w:rsidP="003446B0">
            <w:pPr>
              <w:pStyle w:val="ListinTable"/>
              <w:ind w:left="0" w:firstLine="0"/>
              <w:cnfStyle w:val="000000000000" w:firstRow="0" w:lastRow="0" w:firstColumn="0" w:lastColumn="0" w:oddVBand="0" w:evenVBand="0" w:oddHBand="0" w:evenHBand="0" w:firstRowFirstColumn="0" w:firstRowLastColumn="0" w:lastRowFirstColumn="0" w:lastRowLastColumn="0"/>
              <w:rPr>
                <w:b/>
                <w:bCs/>
                <w:lang w:val="en-GB"/>
              </w:rPr>
            </w:pPr>
          </w:p>
        </w:tc>
        <w:tc>
          <w:tcPr>
            <w:tcW w:w="4536" w:type="dxa"/>
          </w:tcPr>
          <w:p w14:paraId="4C9B9F54" w14:textId="77777777" w:rsidR="00615EE5" w:rsidRDefault="00615EE5" w:rsidP="003446B0">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Reflects A</w:t>
            </w:r>
            <w:r w:rsidR="008A33EF" w:rsidRPr="00552CEE">
              <w:rPr>
                <w:sz w:val="18"/>
                <w:szCs w:val="18"/>
              </w:rPr>
              <w:t>7</w:t>
            </w:r>
            <w:r w:rsidRPr="00552CEE">
              <w:rPr>
                <w:sz w:val="18"/>
                <w:szCs w:val="18"/>
              </w:rPr>
              <w:t xml:space="preserve"> clearing prices </w:t>
            </w:r>
          </w:p>
          <w:p w14:paraId="565EB97B" w14:textId="618BAD78" w:rsidR="00625C0B" w:rsidRPr="00552CEE" w:rsidRDefault="00625C0B" w:rsidP="003446B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Note that AR7 CfDs are 20 years rather than the 15 years offered for previous rounds</w:t>
            </w:r>
          </w:p>
        </w:tc>
      </w:tr>
      <w:tr w:rsidR="00615EE5" w:rsidRPr="00552CEE" w14:paraId="17B5C5D4" w14:textId="77777777" w:rsidTr="003446B0">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127" w:type="dxa"/>
          </w:tcPr>
          <w:p w14:paraId="6221F854" w14:textId="1A80E310" w:rsidR="00615EE5" w:rsidRPr="00552CEE" w:rsidRDefault="00625C0B" w:rsidP="003446B0">
            <w:pPr>
              <w:rPr>
                <w:sz w:val="18"/>
                <w:szCs w:val="18"/>
              </w:rPr>
            </w:pPr>
            <w:r>
              <w:rPr>
                <w:sz w:val="18"/>
                <w:szCs w:val="18"/>
              </w:rPr>
              <w:t>Solar</w:t>
            </w:r>
            <w:r w:rsidR="00615EE5" w:rsidRPr="00552CEE">
              <w:rPr>
                <w:sz w:val="18"/>
                <w:szCs w:val="18"/>
              </w:rPr>
              <w:t xml:space="preserve"> capture price for merchant tail period</w:t>
            </w:r>
          </w:p>
        </w:tc>
        <w:tc>
          <w:tcPr>
            <w:tcW w:w="3118" w:type="dxa"/>
          </w:tcPr>
          <w:p w14:paraId="1E2F72C8" w14:textId="45411EFE" w:rsidR="00615EE5" w:rsidRPr="00552CEE" w:rsidRDefault="00615EE5" w:rsidP="004345C0">
            <w:pPr>
              <w:pStyle w:val="ListinTable"/>
              <w:ind w:left="0" w:firstLine="0"/>
              <w:cnfStyle w:val="000000100000" w:firstRow="0" w:lastRow="0" w:firstColumn="0" w:lastColumn="0" w:oddVBand="0" w:evenVBand="0" w:oddHBand="1" w:evenHBand="0" w:firstRowFirstColumn="0" w:firstRowLastColumn="0" w:lastRowFirstColumn="0" w:lastRowLastColumn="0"/>
              <w:rPr>
                <w:b/>
                <w:bCs/>
                <w:lang w:val="en-GB"/>
              </w:rPr>
            </w:pPr>
            <w:r w:rsidRPr="00552CEE">
              <w:rPr>
                <w:lang w:val="en-GB"/>
              </w:rPr>
              <w:t xml:space="preserve">£54.37 / MWh </w:t>
            </w:r>
          </w:p>
        </w:tc>
        <w:tc>
          <w:tcPr>
            <w:tcW w:w="4536" w:type="dxa"/>
          </w:tcPr>
          <w:p w14:paraId="62EE5F0C" w14:textId="1E788D04" w:rsidR="004345C0" w:rsidRPr="00552CEE" w:rsidRDefault="004345C0" w:rsidP="004345C0">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30% discount on projected wholesale prices</w:t>
            </w:r>
          </w:p>
          <w:p w14:paraId="1D531769" w14:textId="77777777" w:rsidR="00615EE5" w:rsidRPr="00552CEE" w:rsidRDefault="00615EE5" w:rsidP="003446B0">
            <w:pPr>
              <w:cnfStyle w:val="000000100000" w:firstRow="0" w:lastRow="0" w:firstColumn="0" w:lastColumn="0" w:oddVBand="0" w:evenVBand="0" w:oddHBand="1" w:evenHBand="0" w:firstRowFirstColumn="0" w:firstRowLastColumn="0" w:lastRowFirstColumn="0" w:lastRowLastColumn="0"/>
              <w:rPr>
                <w:sz w:val="18"/>
                <w:szCs w:val="18"/>
              </w:rPr>
            </w:pPr>
          </w:p>
        </w:tc>
      </w:tr>
      <w:tr w:rsidR="00615EE5" w:rsidRPr="00552CEE" w14:paraId="036EDBE5" w14:textId="77777777" w:rsidTr="003446B0">
        <w:trPr>
          <w:trHeight w:val="234"/>
        </w:trPr>
        <w:tc>
          <w:tcPr>
            <w:cnfStyle w:val="001000000000" w:firstRow="0" w:lastRow="0" w:firstColumn="1" w:lastColumn="0" w:oddVBand="0" w:evenVBand="0" w:oddHBand="0" w:evenHBand="0" w:firstRowFirstColumn="0" w:firstRowLastColumn="0" w:lastRowFirstColumn="0" w:lastRowLastColumn="0"/>
            <w:tcW w:w="2127" w:type="dxa"/>
          </w:tcPr>
          <w:p w14:paraId="33730FB6" w14:textId="77777777" w:rsidR="00615EE5" w:rsidRPr="00552CEE" w:rsidRDefault="00615EE5" w:rsidP="003446B0">
            <w:pPr>
              <w:rPr>
                <w:sz w:val="18"/>
                <w:szCs w:val="18"/>
              </w:rPr>
            </w:pPr>
            <w:r w:rsidRPr="00552CEE">
              <w:rPr>
                <w:sz w:val="18"/>
                <w:szCs w:val="18"/>
              </w:rPr>
              <w:t>Economic curtailment levels</w:t>
            </w:r>
          </w:p>
        </w:tc>
        <w:tc>
          <w:tcPr>
            <w:tcW w:w="3118" w:type="dxa"/>
          </w:tcPr>
          <w:p w14:paraId="602E8DB6" w14:textId="77777777" w:rsidR="00615EE5" w:rsidRPr="00552CEE" w:rsidRDefault="00615EE5" w:rsidP="003446B0">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 xml:space="preserve">3% of lifetime output </w:t>
            </w:r>
          </w:p>
        </w:tc>
        <w:tc>
          <w:tcPr>
            <w:tcW w:w="4536" w:type="dxa"/>
          </w:tcPr>
          <w:p w14:paraId="74FF5BBA" w14:textId="7AE61F55" w:rsidR="00615EE5" w:rsidRPr="00552CEE" w:rsidRDefault="004345C0" w:rsidP="003446B0">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 xml:space="preserve">Reflects an optimistic (low) </w:t>
            </w:r>
            <w:r w:rsidR="00552CEE" w:rsidRPr="00552CEE">
              <w:rPr>
                <w:sz w:val="18"/>
                <w:szCs w:val="18"/>
              </w:rPr>
              <w:t>estimate</w:t>
            </w:r>
            <w:r w:rsidRPr="00552CEE">
              <w:rPr>
                <w:sz w:val="18"/>
                <w:szCs w:val="18"/>
              </w:rPr>
              <w:t xml:space="preserve"> of economic curtailment</w:t>
            </w:r>
          </w:p>
        </w:tc>
      </w:tr>
      <w:tr w:rsidR="00615EE5" w:rsidRPr="00552CEE" w14:paraId="58AF3790" w14:textId="77777777" w:rsidTr="003446B0">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127" w:type="dxa"/>
          </w:tcPr>
          <w:p w14:paraId="4EF69444" w14:textId="77777777" w:rsidR="00615EE5" w:rsidRPr="00552CEE" w:rsidRDefault="00615EE5" w:rsidP="003446B0">
            <w:pPr>
              <w:rPr>
                <w:sz w:val="18"/>
                <w:szCs w:val="18"/>
              </w:rPr>
            </w:pPr>
            <w:r w:rsidRPr="00552CEE">
              <w:rPr>
                <w:sz w:val="18"/>
                <w:szCs w:val="18"/>
              </w:rPr>
              <w:t>Operational lifetime</w:t>
            </w:r>
          </w:p>
        </w:tc>
        <w:tc>
          <w:tcPr>
            <w:tcW w:w="3118" w:type="dxa"/>
          </w:tcPr>
          <w:p w14:paraId="64A2D7C2" w14:textId="77777777" w:rsidR="00615EE5" w:rsidRPr="00552CEE" w:rsidRDefault="00615EE5" w:rsidP="003446B0">
            <w:pPr>
              <w:pStyle w:val="ListinTable"/>
              <w:ind w:left="0" w:firstLine="0"/>
              <w:cnfStyle w:val="000000100000" w:firstRow="0" w:lastRow="0" w:firstColumn="0" w:lastColumn="0" w:oddVBand="0" w:evenVBand="0" w:oddHBand="1" w:evenHBand="0" w:firstRowFirstColumn="0" w:firstRowLastColumn="0" w:lastRowFirstColumn="0" w:lastRowLastColumn="0"/>
              <w:rPr>
                <w:b/>
                <w:bCs/>
                <w:lang w:val="en-GB"/>
              </w:rPr>
            </w:pPr>
            <w:r w:rsidRPr="00552CEE">
              <w:rPr>
                <w:b/>
                <w:bCs/>
                <w:lang w:val="en-GB"/>
              </w:rPr>
              <w:t>30 years</w:t>
            </w:r>
          </w:p>
        </w:tc>
        <w:tc>
          <w:tcPr>
            <w:tcW w:w="4536" w:type="dxa"/>
          </w:tcPr>
          <w:p w14:paraId="563C0C43" w14:textId="77777777" w:rsidR="00615EE5" w:rsidRPr="00552CEE" w:rsidRDefault="00615EE5" w:rsidP="003446B0">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 xml:space="preserve"> </w:t>
            </w:r>
          </w:p>
        </w:tc>
      </w:tr>
      <w:tr w:rsidR="008A33EF" w:rsidRPr="00552CEE" w14:paraId="53357917" w14:textId="77777777" w:rsidTr="003446B0">
        <w:trPr>
          <w:trHeight w:val="234"/>
        </w:trPr>
        <w:tc>
          <w:tcPr>
            <w:cnfStyle w:val="001000000000" w:firstRow="0" w:lastRow="0" w:firstColumn="1" w:lastColumn="0" w:oddVBand="0" w:evenVBand="0" w:oddHBand="0" w:evenHBand="0" w:firstRowFirstColumn="0" w:firstRowLastColumn="0" w:lastRowFirstColumn="0" w:lastRowLastColumn="0"/>
            <w:tcW w:w="2127" w:type="dxa"/>
          </w:tcPr>
          <w:p w14:paraId="21FECB20" w14:textId="4A95D0F7" w:rsidR="008A33EF" w:rsidRPr="00552CEE" w:rsidRDefault="008A33EF" w:rsidP="003446B0">
            <w:pPr>
              <w:rPr>
                <w:sz w:val="18"/>
                <w:szCs w:val="18"/>
              </w:rPr>
            </w:pPr>
            <w:r w:rsidRPr="00552CEE">
              <w:rPr>
                <w:sz w:val="18"/>
                <w:szCs w:val="18"/>
              </w:rPr>
              <w:t>Additional split site costs (</w:t>
            </w:r>
            <w:r w:rsidR="00552CEE" w:rsidRPr="00552CEE">
              <w:rPr>
                <w:sz w:val="18"/>
                <w:szCs w:val="18"/>
              </w:rPr>
              <w:t>variable</w:t>
            </w:r>
            <w:r w:rsidRPr="00552CEE">
              <w:rPr>
                <w:sz w:val="18"/>
                <w:szCs w:val="18"/>
              </w:rPr>
              <w:t>)</w:t>
            </w:r>
          </w:p>
        </w:tc>
        <w:tc>
          <w:tcPr>
            <w:tcW w:w="3118" w:type="dxa"/>
          </w:tcPr>
          <w:p w14:paraId="46C34D50" w14:textId="4A02E12D" w:rsidR="008A33EF" w:rsidRPr="00552CEE" w:rsidRDefault="007A609E" w:rsidP="003446B0">
            <w:pPr>
              <w:pStyle w:val="ListinTable"/>
              <w:ind w:left="0" w:firstLine="0"/>
              <w:cnfStyle w:val="000000000000" w:firstRow="0" w:lastRow="0" w:firstColumn="0" w:lastColumn="0" w:oddVBand="0" w:evenVBand="0" w:oddHBand="0" w:evenHBand="0" w:firstRowFirstColumn="0" w:firstRowLastColumn="0" w:lastRowFirstColumn="0" w:lastRowLastColumn="0"/>
              <w:rPr>
                <w:lang w:val="en-GB"/>
              </w:rPr>
            </w:pPr>
            <w:r w:rsidRPr="00552CEE">
              <w:rPr>
                <w:lang w:val="en-GB"/>
              </w:rPr>
              <w:t>£11.40 / kW / year</w:t>
            </w:r>
          </w:p>
        </w:tc>
        <w:tc>
          <w:tcPr>
            <w:tcW w:w="4536" w:type="dxa"/>
          </w:tcPr>
          <w:p w14:paraId="4D79C2DD" w14:textId="081D7F59" w:rsidR="008A33EF" w:rsidRPr="00552CEE" w:rsidRDefault="004345C0" w:rsidP="003446B0">
            <w:pPr>
              <w:cnfStyle w:val="000000000000" w:firstRow="0" w:lastRow="0" w:firstColumn="0" w:lastColumn="0" w:oddVBand="0" w:evenVBand="0" w:oddHBand="0" w:evenHBand="0" w:firstRowFirstColumn="0" w:firstRowLastColumn="0" w:lastRowFirstColumn="0" w:lastRowLastColumn="0"/>
              <w:rPr>
                <w:sz w:val="18"/>
                <w:szCs w:val="18"/>
              </w:rPr>
            </w:pPr>
            <w:r w:rsidRPr="00552CEE">
              <w:rPr>
                <w:sz w:val="18"/>
                <w:szCs w:val="18"/>
              </w:rPr>
              <w:t>Informed by sector discussions</w:t>
            </w:r>
          </w:p>
        </w:tc>
      </w:tr>
      <w:tr w:rsidR="007A609E" w:rsidRPr="00552CEE" w14:paraId="0034C6ED" w14:textId="77777777" w:rsidTr="003446B0">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127" w:type="dxa"/>
          </w:tcPr>
          <w:p w14:paraId="1582803A" w14:textId="5905AA3F" w:rsidR="007A609E" w:rsidRPr="00552CEE" w:rsidRDefault="007A609E" w:rsidP="007A609E">
            <w:pPr>
              <w:rPr>
                <w:sz w:val="18"/>
                <w:szCs w:val="18"/>
              </w:rPr>
            </w:pPr>
            <w:r w:rsidRPr="00552CEE">
              <w:rPr>
                <w:sz w:val="18"/>
                <w:szCs w:val="18"/>
              </w:rPr>
              <w:t>Additional split site costs (fixed)</w:t>
            </w:r>
          </w:p>
        </w:tc>
        <w:tc>
          <w:tcPr>
            <w:tcW w:w="3118" w:type="dxa"/>
          </w:tcPr>
          <w:p w14:paraId="4A7E013E" w14:textId="2564A87F" w:rsidR="007A609E" w:rsidRPr="00552CEE" w:rsidRDefault="004345C0" w:rsidP="007A609E">
            <w:pPr>
              <w:pStyle w:val="ListinTable"/>
              <w:ind w:left="0" w:firstLine="0"/>
              <w:cnfStyle w:val="000000100000" w:firstRow="0" w:lastRow="0" w:firstColumn="0" w:lastColumn="0" w:oddVBand="0" w:evenVBand="0" w:oddHBand="1" w:evenHBand="0" w:firstRowFirstColumn="0" w:firstRowLastColumn="0" w:lastRowFirstColumn="0" w:lastRowLastColumn="0"/>
              <w:rPr>
                <w:lang w:val="en-GB"/>
              </w:rPr>
            </w:pPr>
            <w:r w:rsidRPr="00552CEE">
              <w:rPr>
                <w:lang w:val="en-GB"/>
              </w:rPr>
              <w:t>£184,000</w:t>
            </w:r>
          </w:p>
        </w:tc>
        <w:tc>
          <w:tcPr>
            <w:tcW w:w="4536" w:type="dxa"/>
          </w:tcPr>
          <w:p w14:paraId="5F028EFF" w14:textId="3AD9B0BB" w:rsidR="007A609E" w:rsidRPr="00552CEE" w:rsidRDefault="004345C0" w:rsidP="007A609E">
            <w:pPr>
              <w:cnfStyle w:val="000000100000" w:firstRow="0" w:lastRow="0" w:firstColumn="0" w:lastColumn="0" w:oddVBand="0" w:evenVBand="0" w:oddHBand="1" w:evenHBand="0" w:firstRowFirstColumn="0" w:firstRowLastColumn="0" w:lastRowFirstColumn="0" w:lastRowLastColumn="0"/>
              <w:rPr>
                <w:sz w:val="18"/>
                <w:szCs w:val="18"/>
              </w:rPr>
            </w:pPr>
            <w:r w:rsidRPr="00552CEE">
              <w:rPr>
                <w:sz w:val="18"/>
                <w:szCs w:val="18"/>
              </w:rPr>
              <w:t>Informed by sector discussions</w:t>
            </w:r>
          </w:p>
        </w:tc>
      </w:tr>
    </w:tbl>
    <w:p w14:paraId="2065B5F4" w14:textId="77777777" w:rsidR="00624876" w:rsidRDefault="00624876" w:rsidP="000F31E7"/>
    <w:p w14:paraId="2A33A22F" w14:textId="77777777" w:rsidR="00625C0B" w:rsidRDefault="00625C0B" w:rsidP="000F31E7">
      <w:pPr>
        <w:sectPr w:rsidR="00625C0B">
          <w:pgSz w:w="11906" w:h="16838"/>
          <w:pgMar w:top="1440" w:right="1440" w:bottom="1440" w:left="1440" w:header="708" w:footer="708" w:gutter="0"/>
          <w:cols w:space="708"/>
          <w:docGrid w:linePitch="360"/>
        </w:sectPr>
      </w:pPr>
    </w:p>
    <w:p w14:paraId="60E0DB29" w14:textId="508C397E" w:rsidR="00624876" w:rsidRPr="00552CEE" w:rsidRDefault="00624876" w:rsidP="00624876">
      <w:pPr>
        <w:pStyle w:val="Heading2"/>
      </w:pPr>
      <w:r w:rsidRPr="00552CEE">
        <w:lastRenderedPageBreak/>
        <w:t>Solar results</w:t>
      </w:r>
    </w:p>
    <w:p w14:paraId="7E2A0E35" w14:textId="404335E6" w:rsidR="00240CBC" w:rsidRPr="00552CEE" w:rsidRDefault="00240CBC" w:rsidP="00240CBC">
      <w:pPr>
        <w:pStyle w:val="Heading2"/>
      </w:pPr>
      <w:bookmarkStart w:id="13" w:name="_Ref225972912"/>
      <w:r w:rsidRPr="00552CEE">
        <w:t>Commercial perspective</w:t>
      </w:r>
    </w:p>
    <w:p w14:paraId="21688526" w14:textId="47848C91" w:rsidR="00240CBC" w:rsidRDefault="00240CBC" w:rsidP="00240CBC">
      <w:r w:rsidRPr="00552CEE">
        <w:t>The overall commerc</w:t>
      </w:r>
      <w:r w:rsidR="00552CEE" w:rsidRPr="00552CEE">
        <w:t>i</w:t>
      </w:r>
      <w:r w:rsidRPr="00552CEE">
        <w:t xml:space="preserve">al </w:t>
      </w:r>
      <w:r w:rsidR="00552CEE" w:rsidRPr="00552CEE">
        <w:t>perspective</w:t>
      </w:r>
      <w:r w:rsidRPr="00552CEE">
        <w:t xml:space="preserve"> is less important in this case, as </w:t>
      </w:r>
      <w:r w:rsidR="00125FC9">
        <w:t xml:space="preserve">the </w:t>
      </w:r>
      <w:r w:rsidRPr="00552CEE">
        <w:t>ownership model – split-site – effectively isolat</w:t>
      </w:r>
      <w:r w:rsidR="00125FC9">
        <w:t>es</w:t>
      </w:r>
      <w:r w:rsidRPr="00552CEE">
        <w:t xml:space="preserve"> the SO part of the project from the commercial part. However, </w:t>
      </w:r>
      <w:r w:rsidR="00AF34A1" w:rsidRPr="00552CEE">
        <w:t>in summary, the commerc</w:t>
      </w:r>
      <w:r w:rsidR="00552CEE" w:rsidRPr="00552CEE">
        <w:t>i</w:t>
      </w:r>
      <w:r w:rsidR="00AF34A1" w:rsidRPr="00552CEE">
        <w:t>al perspective for a 50 MW wind farm is</w:t>
      </w:r>
      <w:r w:rsidR="00125FC9">
        <w:t xml:space="preserve"> given in </w:t>
      </w:r>
      <w:r w:rsidR="00125FC9">
        <w:fldChar w:fldCharType="begin"/>
      </w:r>
      <w:r w:rsidR="00125FC9">
        <w:instrText xml:space="preserve"> REF _Ref226043617 \h </w:instrText>
      </w:r>
      <w:r w:rsidR="00125FC9">
        <w:fldChar w:fldCharType="separate"/>
      </w:r>
      <w:r w:rsidR="00BA359F">
        <w:t xml:space="preserve">Table </w:t>
      </w:r>
      <w:r w:rsidR="00BA359F">
        <w:rPr>
          <w:noProof/>
        </w:rPr>
        <w:t>23</w:t>
      </w:r>
      <w:r w:rsidR="00125FC9">
        <w:fldChar w:fldCharType="end"/>
      </w:r>
      <w:r w:rsidR="00125FC9">
        <w:t xml:space="preserve"> and delivers an ungeared IRR of 5.4% over 30 years. </w:t>
      </w:r>
    </w:p>
    <w:p w14:paraId="4B505F60" w14:textId="48E43ABF" w:rsidR="00125FC9" w:rsidRDefault="00125FC9" w:rsidP="00125FC9">
      <w:pPr>
        <w:pStyle w:val="Caption"/>
        <w:keepNext/>
        <w:jc w:val="center"/>
      </w:pPr>
      <w:bookmarkStart w:id="14" w:name="_Ref226043617"/>
      <w:r>
        <w:t xml:space="preserve">Table </w:t>
      </w:r>
      <w:fldSimple w:instr=" SEQ Table \* ARABIC ">
        <w:r w:rsidR="00BA359F">
          <w:rPr>
            <w:noProof/>
          </w:rPr>
          <w:t>23</w:t>
        </w:r>
      </w:fldSimple>
      <w:bookmarkEnd w:id="14"/>
      <w:r>
        <w:t>: Overview of the project-level perspective for the example solar site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828"/>
        <w:gridCol w:w="1729"/>
      </w:tblGrid>
      <w:tr w:rsidR="005366AE" w:rsidRPr="00552CEE" w14:paraId="34D83C6E" w14:textId="77777777" w:rsidTr="00D54DAF">
        <w:trPr>
          <w:jc w:val="center"/>
        </w:trPr>
        <w:tc>
          <w:tcPr>
            <w:tcW w:w="3828" w:type="dxa"/>
            <w:shd w:val="clear" w:color="auto" w:fill="D0CECE" w:themeFill="background2" w:themeFillShade="E6"/>
          </w:tcPr>
          <w:p w14:paraId="025736EF" w14:textId="77777777" w:rsidR="005366AE" w:rsidRPr="00552CEE" w:rsidRDefault="005366AE" w:rsidP="00D54DAF">
            <w:pPr>
              <w:rPr>
                <w:i/>
                <w:iCs/>
              </w:rPr>
            </w:pPr>
          </w:p>
        </w:tc>
        <w:tc>
          <w:tcPr>
            <w:tcW w:w="1729" w:type="dxa"/>
            <w:shd w:val="clear" w:color="auto" w:fill="D0CECE" w:themeFill="background2" w:themeFillShade="E6"/>
          </w:tcPr>
          <w:p w14:paraId="66E330E9" w14:textId="77777777" w:rsidR="005366AE" w:rsidRPr="00552CEE" w:rsidRDefault="005366AE" w:rsidP="00D54DAF">
            <w:pPr>
              <w:jc w:val="center"/>
            </w:pPr>
          </w:p>
        </w:tc>
      </w:tr>
      <w:tr w:rsidR="005366AE" w:rsidRPr="00552CEE" w14:paraId="75A553F2" w14:textId="77777777" w:rsidTr="00D54DAF">
        <w:trPr>
          <w:jc w:val="center"/>
        </w:trPr>
        <w:tc>
          <w:tcPr>
            <w:tcW w:w="3828" w:type="dxa"/>
          </w:tcPr>
          <w:p w14:paraId="66931403" w14:textId="77777777" w:rsidR="005366AE" w:rsidRPr="00552CEE" w:rsidRDefault="005366AE" w:rsidP="00D54DAF">
            <w:r w:rsidRPr="00552CEE">
              <w:t>Generation capacity</w:t>
            </w:r>
          </w:p>
        </w:tc>
        <w:tc>
          <w:tcPr>
            <w:tcW w:w="1729" w:type="dxa"/>
          </w:tcPr>
          <w:p w14:paraId="33739EF1" w14:textId="28121AC8" w:rsidR="005366AE" w:rsidRPr="00552CEE" w:rsidRDefault="005366AE" w:rsidP="00D54DAF">
            <w:pPr>
              <w:jc w:val="center"/>
            </w:pPr>
            <w:r w:rsidRPr="00552CEE">
              <w:t>5</w:t>
            </w:r>
            <w:r>
              <w:t>0</w:t>
            </w:r>
            <w:r w:rsidRPr="00552CEE">
              <w:t xml:space="preserve"> MW</w:t>
            </w:r>
          </w:p>
        </w:tc>
      </w:tr>
      <w:tr w:rsidR="005366AE" w:rsidRPr="00552CEE" w14:paraId="5D3AB501" w14:textId="77777777" w:rsidTr="00D54DAF">
        <w:trPr>
          <w:jc w:val="center"/>
        </w:trPr>
        <w:tc>
          <w:tcPr>
            <w:tcW w:w="3828" w:type="dxa"/>
            <w:vAlign w:val="bottom"/>
          </w:tcPr>
          <w:p w14:paraId="6292674B" w14:textId="77777777" w:rsidR="005366AE" w:rsidRPr="002F5A39" w:rsidRDefault="005366AE" w:rsidP="00D54DAF">
            <w:r w:rsidRPr="002F5A39">
              <w:t>Total capital investment</w:t>
            </w:r>
          </w:p>
        </w:tc>
        <w:tc>
          <w:tcPr>
            <w:tcW w:w="1729" w:type="dxa"/>
          </w:tcPr>
          <w:p w14:paraId="2591962B" w14:textId="76458AC7" w:rsidR="005366AE" w:rsidRPr="002F5A39" w:rsidRDefault="005366AE" w:rsidP="00D54DAF">
            <w:pPr>
              <w:jc w:val="center"/>
            </w:pPr>
            <w:r w:rsidRPr="002F5A39">
              <w:t>£</w:t>
            </w:r>
            <w:r>
              <w:t>30</w:t>
            </w:r>
            <w:r w:rsidRPr="002F5A39">
              <w:t xml:space="preserve"> million</w:t>
            </w:r>
          </w:p>
        </w:tc>
      </w:tr>
      <w:tr w:rsidR="005366AE" w:rsidRPr="00552CEE" w14:paraId="2597D38D" w14:textId="77777777" w:rsidTr="00D54DAF">
        <w:trPr>
          <w:jc w:val="center"/>
        </w:trPr>
        <w:tc>
          <w:tcPr>
            <w:tcW w:w="3828" w:type="dxa"/>
            <w:vAlign w:val="bottom"/>
          </w:tcPr>
          <w:p w14:paraId="303EC8D9" w14:textId="77777777" w:rsidR="005366AE" w:rsidRPr="002F5A39" w:rsidRDefault="005366AE" w:rsidP="00D54DAF">
            <w:r w:rsidRPr="002F5A39">
              <w:t>Annual O&amp;M costs</w:t>
            </w:r>
          </w:p>
        </w:tc>
        <w:tc>
          <w:tcPr>
            <w:tcW w:w="1729" w:type="dxa"/>
          </w:tcPr>
          <w:p w14:paraId="73ABEC5E" w14:textId="6C81F666" w:rsidR="005366AE" w:rsidRPr="002F5A39" w:rsidRDefault="005366AE" w:rsidP="00D54DAF">
            <w:pPr>
              <w:jc w:val="center"/>
            </w:pPr>
            <w:r w:rsidRPr="002F5A39">
              <w:t>£</w:t>
            </w:r>
            <w:r w:rsidR="00A57D58">
              <w:t>0.3</w:t>
            </w:r>
            <w:r w:rsidRPr="002F5A39">
              <w:t xml:space="preserve"> million</w:t>
            </w:r>
          </w:p>
        </w:tc>
      </w:tr>
      <w:tr w:rsidR="005366AE" w:rsidRPr="00552CEE" w14:paraId="69B4147E" w14:textId="77777777" w:rsidTr="00D54DAF">
        <w:trPr>
          <w:jc w:val="center"/>
        </w:trPr>
        <w:tc>
          <w:tcPr>
            <w:tcW w:w="3828" w:type="dxa"/>
            <w:vAlign w:val="bottom"/>
          </w:tcPr>
          <w:p w14:paraId="4C9B965F" w14:textId="77777777" w:rsidR="005366AE" w:rsidRPr="002F5A39" w:rsidRDefault="005366AE" w:rsidP="00D54DAF">
            <w:r w:rsidRPr="002F5A39">
              <w:t>Annual TNUoS (2030)</w:t>
            </w:r>
          </w:p>
        </w:tc>
        <w:tc>
          <w:tcPr>
            <w:tcW w:w="1729" w:type="dxa"/>
          </w:tcPr>
          <w:p w14:paraId="07E4A5AA" w14:textId="0F00E92A" w:rsidR="005366AE" w:rsidRPr="002F5A39" w:rsidRDefault="005366AE" w:rsidP="00D54DAF">
            <w:pPr>
              <w:jc w:val="center"/>
            </w:pPr>
            <w:r w:rsidRPr="002F5A39">
              <w:t>£</w:t>
            </w:r>
            <w:r w:rsidR="00A57D58">
              <w:t>0.23</w:t>
            </w:r>
            <w:r w:rsidRPr="002F5A39">
              <w:t xml:space="preserve"> million</w:t>
            </w:r>
          </w:p>
        </w:tc>
      </w:tr>
      <w:tr w:rsidR="005366AE" w:rsidRPr="00552CEE" w14:paraId="5B9D2806" w14:textId="77777777" w:rsidTr="00D54DAF">
        <w:trPr>
          <w:jc w:val="center"/>
        </w:trPr>
        <w:tc>
          <w:tcPr>
            <w:tcW w:w="3828" w:type="dxa"/>
            <w:vAlign w:val="bottom"/>
          </w:tcPr>
          <w:p w14:paraId="0C5DC3B7" w14:textId="77777777" w:rsidR="005366AE" w:rsidRDefault="005366AE" w:rsidP="00D54DAF"/>
        </w:tc>
        <w:tc>
          <w:tcPr>
            <w:tcW w:w="1729" w:type="dxa"/>
          </w:tcPr>
          <w:p w14:paraId="042A08B8" w14:textId="77777777" w:rsidR="005366AE" w:rsidRPr="00552CEE" w:rsidRDefault="005366AE" w:rsidP="00D54DAF">
            <w:pPr>
              <w:jc w:val="center"/>
            </w:pPr>
          </w:p>
        </w:tc>
      </w:tr>
      <w:tr w:rsidR="005366AE" w:rsidRPr="00552CEE" w14:paraId="5CFAE22B" w14:textId="77777777" w:rsidTr="00D54DAF">
        <w:trPr>
          <w:jc w:val="center"/>
        </w:trPr>
        <w:tc>
          <w:tcPr>
            <w:tcW w:w="3828" w:type="dxa"/>
            <w:vAlign w:val="bottom"/>
          </w:tcPr>
          <w:p w14:paraId="37155C53" w14:textId="77777777" w:rsidR="005366AE" w:rsidRPr="00552CEE" w:rsidRDefault="005366AE" w:rsidP="00D54DAF">
            <w:r w:rsidRPr="00552CEE">
              <w:t>Annual Revenue (CfD period)</w:t>
            </w:r>
          </w:p>
        </w:tc>
        <w:tc>
          <w:tcPr>
            <w:tcW w:w="1729" w:type="dxa"/>
          </w:tcPr>
          <w:p w14:paraId="4983B671" w14:textId="7D54AD0A" w:rsidR="005366AE" w:rsidRPr="00552CEE" w:rsidRDefault="005366AE" w:rsidP="00D54DAF">
            <w:pPr>
              <w:jc w:val="center"/>
            </w:pPr>
            <w:r w:rsidRPr="00552CEE">
              <w:t>£</w:t>
            </w:r>
            <w:r w:rsidR="00A57D58">
              <w:t>3.5</w:t>
            </w:r>
            <w:r w:rsidRPr="00552CEE">
              <w:t xml:space="preserve"> million</w:t>
            </w:r>
          </w:p>
        </w:tc>
      </w:tr>
    </w:tbl>
    <w:p w14:paraId="148D0DCD" w14:textId="77777777" w:rsidR="005366AE" w:rsidRPr="00552CEE" w:rsidRDefault="005366AE" w:rsidP="00240CBC"/>
    <w:p w14:paraId="4E410BBB" w14:textId="2EAF1D5B" w:rsidR="008A4606" w:rsidRPr="00552CEE" w:rsidRDefault="000441EA" w:rsidP="000441EA">
      <w:pPr>
        <w:pStyle w:val="Heading2"/>
      </w:pPr>
      <w:r w:rsidRPr="00552CEE">
        <w:t>Share</w:t>
      </w:r>
      <w:r w:rsidR="00125FC9">
        <w:t>d</w:t>
      </w:r>
      <w:r w:rsidRPr="00552CEE">
        <w:t xml:space="preserve"> ownership perspective</w:t>
      </w:r>
      <w:r w:rsidR="005F75AA" w:rsidRPr="00552CEE">
        <w:t xml:space="preserve"> </w:t>
      </w:r>
    </w:p>
    <w:p w14:paraId="54A29B97" w14:textId="737C2F28" w:rsidR="00DE38B5" w:rsidRPr="00552CEE" w:rsidRDefault="009E4B72" w:rsidP="00DE38B5">
      <w:pPr>
        <w:pStyle w:val="Caption"/>
        <w:keepNext/>
        <w:rPr>
          <w:i w:val="0"/>
          <w:iCs w:val="0"/>
          <w:color w:val="auto"/>
          <w:sz w:val="24"/>
          <w:szCs w:val="24"/>
        </w:rPr>
      </w:pPr>
      <w:r w:rsidRPr="00552CEE">
        <w:rPr>
          <w:i w:val="0"/>
          <w:iCs w:val="0"/>
          <w:color w:val="auto"/>
          <w:sz w:val="24"/>
          <w:szCs w:val="24"/>
        </w:rPr>
        <w:t>The results for this scenario initially show positive income to the SO in all years. Note that this example assumes an AR7 CfD. Unlike previous allocation rounds, this provides support for 20 years rather than 15, meaning that the CfD duration and the public sector loan tenor are aligned.</w:t>
      </w:r>
    </w:p>
    <w:p w14:paraId="21A99810" w14:textId="25A68547" w:rsidR="00DE6C92" w:rsidRPr="00552CEE" w:rsidRDefault="00DE6C92" w:rsidP="00DE6C92">
      <w:pPr>
        <w:pStyle w:val="Caption"/>
        <w:keepNext/>
        <w:jc w:val="center"/>
      </w:pPr>
      <w:r w:rsidRPr="00552CEE">
        <w:t xml:space="preserve">Table </w:t>
      </w:r>
      <w:fldSimple w:instr=" SEQ Table \* ARABIC ">
        <w:r w:rsidR="00BA359F">
          <w:rPr>
            <w:noProof/>
          </w:rPr>
          <w:t>24</w:t>
        </w:r>
      </w:fldSimple>
      <w:bookmarkEnd w:id="13"/>
      <w:r w:rsidRPr="00552CEE">
        <w:t xml:space="preserve">: </w:t>
      </w:r>
      <w:r w:rsidR="00DE38B5" w:rsidRPr="00552CEE">
        <w:t xml:space="preserve">Cash flow waterfall for </w:t>
      </w:r>
      <w:r w:rsidR="00552CEE" w:rsidRPr="00552CEE">
        <w:t>Solar example</w:t>
      </w:r>
      <w:r w:rsidR="00DE38B5" w:rsidRPr="00552CEE">
        <w:t xml:space="preserve"> with </w:t>
      </w:r>
      <w:r w:rsidRPr="00552CEE">
        <w:t>split-site project</w:t>
      </w:r>
      <w:r w:rsidR="00DE38B5" w:rsidRPr="00552CEE">
        <w:t xml:space="preserve"> and AR7 CfD.</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36"/>
        <w:gridCol w:w="45"/>
        <w:gridCol w:w="1431"/>
        <w:gridCol w:w="35"/>
        <w:gridCol w:w="1441"/>
        <w:gridCol w:w="25"/>
        <w:gridCol w:w="1452"/>
        <w:gridCol w:w="15"/>
        <w:gridCol w:w="1346"/>
      </w:tblGrid>
      <w:tr w:rsidR="00625C0B" w:rsidRPr="00552CEE" w14:paraId="2F85E613" w14:textId="1A93D59E" w:rsidTr="00625C0B">
        <w:tc>
          <w:tcPr>
            <w:tcW w:w="3236" w:type="dxa"/>
            <w:shd w:val="clear" w:color="auto" w:fill="D0CECE" w:themeFill="background2" w:themeFillShade="E6"/>
          </w:tcPr>
          <w:p w14:paraId="6B6B2D8B" w14:textId="77777777" w:rsidR="00625C0B" w:rsidRPr="00552CEE" w:rsidRDefault="00625C0B" w:rsidP="003446B0">
            <w:pPr>
              <w:rPr>
                <w:i/>
                <w:iCs/>
              </w:rPr>
            </w:pPr>
            <w:r w:rsidRPr="00552CEE">
              <w:rPr>
                <w:i/>
                <w:iCs/>
                <w:sz w:val="20"/>
                <w:szCs w:val="20"/>
              </w:rPr>
              <w:t>Values in £million (2025, real, undiscounted)</w:t>
            </w:r>
          </w:p>
        </w:tc>
        <w:tc>
          <w:tcPr>
            <w:tcW w:w="1476" w:type="dxa"/>
            <w:gridSpan w:val="2"/>
            <w:shd w:val="clear" w:color="auto" w:fill="D0CECE" w:themeFill="background2" w:themeFillShade="E6"/>
          </w:tcPr>
          <w:p w14:paraId="09BF107B" w14:textId="77777777" w:rsidR="00625C0B" w:rsidRPr="00552CEE" w:rsidRDefault="00625C0B" w:rsidP="003446B0">
            <w:pPr>
              <w:jc w:val="center"/>
            </w:pPr>
            <w:r w:rsidRPr="00552CEE">
              <w:t>2030</w:t>
            </w:r>
          </w:p>
        </w:tc>
        <w:tc>
          <w:tcPr>
            <w:tcW w:w="1476" w:type="dxa"/>
            <w:gridSpan w:val="2"/>
            <w:shd w:val="clear" w:color="auto" w:fill="D0CECE" w:themeFill="background2" w:themeFillShade="E6"/>
          </w:tcPr>
          <w:p w14:paraId="01E7FBC1" w14:textId="77777777" w:rsidR="00625C0B" w:rsidRPr="00552CEE" w:rsidRDefault="00625C0B" w:rsidP="003446B0">
            <w:pPr>
              <w:jc w:val="center"/>
            </w:pPr>
            <w:r w:rsidRPr="00552CEE">
              <w:t>2043</w:t>
            </w:r>
          </w:p>
        </w:tc>
        <w:tc>
          <w:tcPr>
            <w:tcW w:w="1477" w:type="dxa"/>
            <w:gridSpan w:val="2"/>
            <w:shd w:val="clear" w:color="auto" w:fill="D0CECE" w:themeFill="background2" w:themeFillShade="E6"/>
          </w:tcPr>
          <w:p w14:paraId="3BB1D003" w14:textId="77777777" w:rsidR="00625C0B" w:rsidRPr="00552CEE" w:rsidRDefault="00625C0B" w:rsidP="003446B0">
            <w:pPr>
              <w:jc w:val="center"/>
            </w:pPr>
            <w:r w:rsidRPr="00552CEE">
              <w:t>2048</w:t>
            </w:r>
          </w:p>
        </w:tc>
        <w:tc>
          <w:tcPr>
            <w:tcW w:w="1361" w:type="dxa"/>
            <w:gridSpan w:val="2"/>
            <w:shd w:val="clear" w:color="auto" w:fill="D0CECE" w:themeFill="background2" w:themeFillShade="E6"/>
          </w:tcPr>
          <w:p w14:paraId="3476CD90" w14:textId="33FB512F" w:rsidR="00625C0B" w:rsidRPr="00552CEE" w:rsidRDefault="00625C0B" w:rsidP="003446B0">
            <w:pPr>
              <w:jc w:val="center"/>
            </w:pPr>
            <w:r>
              <w:t>2028-58</w:t>
            </w:r>
          </w:p>
        </w:tc>
      </w:tr>
      <w:tr w:rsidR="00625C0B" w:rsidRPr="00552CEE" w14:paraId="7D92CA9B" w14:textId="4CB8EBDF" w:rsidTr="00625C0B">
        <w:tc>
          <w:tcPr>
            <w:tcW w:w="3236" w:type="dxa"/>
          </w:tcPr>
          <w:p w14:paraId="3ED82F5C" w14:textId="3EF6507E" w:rsidR="00625C0B" w:rsidRPr="00552CEE" w:rsidRDefault="00625C0B" w:rsidP="00257236">
            <w:r w:rsidRPr="00552CEE">
              <w:t xml:space="preserve">Upfront stake: £5.4 million </w:t>
            </w:r>
          </w:p>
          <w:p w14:paraId="069DA8B4" w14:textId="2800E6E6" w:rsidR="00625C0B" w:rsidRPr="00552CEE" w:rsidRDefault="00625C0B" w:rsidP="00257236">
            <w:r w:rsidRPr="00552CEE">
              <w:t>(20% of split-site of a 50 MW site)</w:t>
            </w:r>
          </w:p>
        </w:tc>
        <w:tc>
          <w:tcPr>
            <w:tcW w:w="1476" w:type="dxa"/>
            <w:gridSpan w:val="2"/>
          </w:tcPr>
          <w:p w14:paraId="695DB16B" w14:textId="794FB7AA" w:rsidR="00625C0B" w:rsidRPr="00552CEE" w:rsidRDefault="00625C0B" w:rsidP="00257236">
            <w:pPr>
              <w:jc w:val="center"/>
            </w:pPr>
          </w:p>
        </w:tc>
        <w:tc>
          <w:tcPr>
            <w:tcW w:w="1476" w:type="dxa"/>
            <w:gridSpan w:val="2"/>
          </w:tcPr>
          <w:p w14:paraId="4A6C4045" w14:textId="17CB9CEC" w:rsidR="00625C0B" w:rsidRPr="00552CEE" w:rsidRDefault="00625C0B" w:rsidP="00257236">
            <w:pPr>
              <w:jc w:val="center"/>
            </w:pPr>
          </w:p>
        </w:tc>
        <w:tc>
          <w:tcPr>
            <w:tcW w:w="1477" w:type="dxa"/>
            <w:gridSpan w:val="2"/>
          </w:tcPr>
          <w:p w14:paraId="35EA6E35" w14:textId="5048E6D0" w:rsidR="00625C0B" w:rsidRPr="00552CEE" w:rsidRDefault="00625C0B" w:rsidP="00257236">
            <w:pPr>
              <w:jc w:val="center"/>
            </w:pPr>
          </w:p>
        </w:tc>
        <w:tc>
          <w:tcPr>
            <w:tcW w:w="1361" w:type="dxa"/>
            <w:gridSpan w:val="2"/>
          </w:tcPr>
          <w:p w14:paraId="6D3DACB1" w14:textId="77777777" w:rsidR="00625C0B" w:rsidRPr="00552CEE" w:rsidRDefault="00625C0B" w:rsidP="00257236">
            <w:pPr>
              <w:jc w:val="center"/>
            </w:pPr>
          </w:p>
        </w:tc>
      </w:tr>
      <w:tr w:rsidR="00625C0B" w:rsidRPr="00552CEE" w14:paraId="285DD98C" w14:textId="7216E49B" w:rsidTr="00625C0B">
        <w:tc>
          <w:tcPr>
            <w:tcW w:w="3236" w:type="dxa"/>
            <w:vAlign w:val="bottom"/>
          </w:tcPr>
          <w:p w14:paraId="037396F8" w14:textId="77777777" w:rsidR="00625C0B" w:rsidRPr="00552CEE" w:rsidRDefault="00625C0B" w:rsidP="004F450F">
            <w:r w:rsidRPr="00552CEE">
              <w:t>Revenue</w:t>
            </w:r>
          </w:p>
        </w:tc>
        <w:tc>
          <w:tcPr>
            <w:tcW w:w="1476" w:type="dxa"/>
            <w:gridSpan w:val="2"/>
          </w:tcPr>
          <w:p w14:paraId="047368E9" w14:textId="37A0E270" w:rsidR="00625C0B" w:rsidRPr="00552CEE" w:rsidRDefault="00625C0B" w:rsidP="004F450F">
            <w:pPr>
              <w:jc w:val="center"/>
            </w:pPr>
            <w:r w:rsidRPr="00552CEE">
              <w:t>0.67</w:t>
            </w:r>
          </w:p>
        </w:tc>
        <w:tc>
          <w:tcPr>
            <w:tcW w:w="1476" w:type="dxa"/>
            <w:gridSpan w:val="2"/>
          </w:tcPr>
          <w:p w14:paraId="5A8C6AB1" w14:textId="4DD7D386" w:rsidR="00625C0B" w:rsidRPr="00552CEE" w:rsidRDefault="00625C0B" w:rsidP="004F450F">
            <w:pPr>
              <w:jc w:val="center"/>
            </w:pPr>
            <w:r w:rsidRPr="00552CEE">
              <w:t>0.67</w:t>
            </w:r>
          </w:p>
        </w:tc>
        <w:tc>
          <w:tcPr>
            <w:tcW w:w="1477" w:type="dxa"/>
            <w:gridSpan w:val="2"/>
          </w:tcPr>
          <w:p w14:paraId="57E5DD0B" w14:textId="4750E924" w:rsidR="00625C0B" w:rsidRPr="00552CEE" w:rsidRDefault="00625C0B" w:rsidP="004F450F">
            <w:pPr>
              <w:jc w:val="center"/>
            </w:pPr>
            <w:r w:rsidRPr="00552CEE">
              <w:t>0.54</w:t>
            </w:r>
          </w:p>
        </w:tc>
        <w:tc>
          <w:tcPr>
            <w:tcW w:w="1361" w:type="dxa"/>
            <w:gridSpan w:val="2"/>
          </w:tcPr>
          <w:p w14:paraId="734CF422" w14:textId="77777777" w:rsidR="00625C0B" w:rsidRPr="00552CEE" w:rsidRDefault="00625C0B" w:rsidP="004F450F">
            <w:pPr>
              <w:jc w:val="center"/>
            </w:pPr>
          </w:p>
        </w:tc>
      </w:tr>
      <w:tr w:rsidR="00625C0B" w:rsidRPr="00552CEE" w14:paraId="04345343" w14:textId="6A3EB6DB" w:rsidTr="00625C0B">
        <w:tc>
          <w:tcPr>
            <w:tcW w:w="3236" w:type="dxa"/>
            <w:vAlign w:val="bottom"/>
          </w:tcPr>
          <w:p w14:paraId="336F8E93" w14:textId="77777777" w:rsidR="00625C0B" w:rsidRPr="00552CEE" w:rsidRDefault="00625C0B" w:rsidP="004F450F">
            <w:r w:rsidRPr="00552CEE">
              <w:t>Operating Costs</w:t>
            </w:r>
          </w:p>
        </w:tc>
        <w:tc>
          <w:tcPr>
            <w:tcW w:w="1476" w:type="dxa"/>
            <w:gridSpan w:val="2"/>
          </w:tcPr>
          <w:p w14:paraId="59BD7884" w14:textId="248136CF" w:rsidR="00625C0B" w:rsidRPr="00552CEE" w:rsidRDefault="00625C0B" w:rsidP="004F450F">
            <w:pPr>
              <w:jc w:val="center"/>
            </w:pPr>
            <w:r w:rsidRPr="00552CEE">
              <w:t>0.20</w:t>
            </w:r>
          </w:p>
        </w:tc>
        <w:tc>
          <w:tcPr>
            <w:tcW w:w="1476" w:type="dxa"/>
            <w:gridSpan w:val="2"/>
          </w:tcPr>
          <w:p w14:paraId="54C534FF" w14:textId="4B3638F1" w:rsidR="00625C0B" w:rsidRPr="00552CEE" w:rsidRDefault="00625C0B" w:rsidP="004F450F">
            <w:pPr>
              <w:jc w:val="center"/>
            </w:pPr>
            <w:r w:rsidRPr="00552CEE">
              <w:t>0.23</w:t>
            </w:r>
          </w:p>
        </w:tc>
        <w:tc>
          <w:tcPr>
            <w:tcW w:w="1477" w:type="dxa"/>
            <w:gridSpan w:val="2"/>
          </w:tcPr>
          <w:p w14:paraId="2C8EFAB2" w14:textId="285513A9" w:rsidR="00625C0B" w:rsidRPr="00552CEE" w:rsidRDefault="00625C0B" w:rsidP="004F450F">
            <w:pPr>
              <w:jc w:val="center"/>
            </w:pPr>
            <w:r w:rsidRPr="00552CEE">
              <w:t>0.23</w:t>
            </w:r>
          </w:p>
        </w:tc>
        <w:tc>
          <w:tcPr>
            <w:tcW w:w="1361" w:type="dxa"/>
            <w:gridSpan w:val="2"/>
          </w:tcPr>
          <w:p w14:paraId="02F9EF2A" w14:textId="77777777" w:rsidR="00625C0B" w:rsidRPr="00552CEE" w:rsidRDefault="00625C0B" w:rsidP="004F450F">
            <w:pPr>
              <w:jc w:val="center"/>
            </w:pPr>
          </w:p>
        </w:tc>
      </w:tr>
      <w:tr w:rsidR="00625C0B" w:rsidRPr="00552CEE" w14:paraId="4F8854FB" w14:textId="4958DE8C" w:rsidTr="00625C0B">
        <w:tc>
          <w:tcPr>
            <w:tcW w:w="3236" w:type="dxa"/>
            <w:vAlign w:val="bottom"/>
          </w:tcPr>
          <w:p w14:paraId="666AE796" w14:textId="77777777" w:rsidR="00625C0B" w:rsidRPr="00552CEE" w:rsidRDefault="00625C0B" w:rsidP="004F450F">
            <w:pPr>
              <w:rPr>
                <w:color w:val="D0CECE" w:themeColor="background2" w:themeShade="E6"/>
              </w:rPr>
            </w:pPr>
            <w:r w:rsidRPr="00552CEE">
              <w:rPr>
                <w:color w:val="D0CECE" w:themeColor="background2" w:themeShade="E6"/>
              </w:rPr>
              <w:t>Commercial debt servicing</w:t>
            </w:r>
          </w:p>
        </w:tc>
        <w:tc>
          <w:tcPr>
            <w:tcW w:w="1476" w:type="dxa"/>
            <w:gridSpan w:val="2"/>
          </w:tcPr>
          <w:p w14:paraId="2E4352D0" w14:textId="15D2A538" w:rsidR="00625C0B" w:rsidRPr="00552CEE" w:rsidRDefault="00625C0B" w:rsidP="004F450F">
            <w:pPr>
              <w:jc w:val="center"/>
              <w:rPr>
                <w:color w:val="D0CECE" w:themeColor="background2" w:themeShade="E6"/>
              </w:rPr>
            </w:pPr>
            <w:r w:rsidRPr="00552CEE">
              <w:rPr>
                <w:color w:val="D0CECE" w:themeColor="background2" w:themeShade="E6"/>
              </w:rPr>
              <w:t>0.0</w:t>
            </w:r>
          </w:p>
        </w:tc>
        <w:tc>
          <w:tcPr>
            <w:tcW w:w="1476" w:type="dxa"/>
            <w:gridSpan w:val="2"/>
          </w:tcPr>
          <w:p w14:paraId="67CCCFED" w14:textId="53ADDAE2" w:rsidR="00625C0B" w:rsidRPr="00552CEE" w:rsidRDefault="00625C0B" w:rsidP="004F450F">
            <w:pPr>
              <w:jc w:val="center"/>
              <w:rPr>
                <w:color w:val="D0CECE" w:themeColor="background2" w:themeShade="E6"/>
              </w:rPr>
            </w:pPr>
            <w:r w:rsidRPr="00552CEE">
              <w:rPr>
                <w:color w:val="D0CECE" w:themeColor="background2" w:themeShade="E6"/>
              </w:rPr>
              <w:t>0.0</w:t>
            </w:r>
          </w:p>
        </w:tc>
        <w:tc>
          <w:tcPr>
            <w:tcW w:w="1477" w:type="dxa"/>
            <w:gridSpan w:val="2"/>
          </w:tcPr>
          <w:p w14:paraId="3751932F" w14:textId="2012D9B7" w:rsidR="00625C0B" w:rsidRPr="00552CEE" w:rsidRDefault="00625C0B" w:rsidP="004F450F">
            <w:pPr>
              <w:jc w:val="center"/>
              <w:rPr>
                <w:color w:val="D0CECE" w:themeColor="background2" w:themeShade="E6"/>
              </w:rPr>
            </w:pPr>
            <w:r w:rsidRPr="00552CEE">
              <w:rPr>
                <w:color w:val="D0CECE" w:themeColor="background2" w:themeShade="E6"/>
              </w:rPr>
              <w:t>0.0</w:t>
            </w:r>
          </w:p>
        </w:tc>
        <w:tc>
          <w:tcPr>
            <w:tcW w:w="1361" w:type="dxa"/>
            <w:gridSpan w:val="2"/>
          </w:tcPr>
          <w:p w14:paraId="715E74DB" w14:textId="77777777" w:rsidR="00625C0B" w:rsidRPr="00552CEE" w:rsidRDefault="00625C0B" w:rsidP="004F450F">
            <w:pPr>
              <w:jc w:val="center"/>
              <w:rPr>
                <w:color w:val="D0CECE" w:themeColor="background2" w:themeShade="E6"/>
              </w:rPr>
            </w:pPr>
          </w:p>
        </w:tc>
      </w:tr>
      <w:tr w:rsidR="00625C0B" w:rsidRPr="00552CEE" w14:paraId="51ABB451" w14:textId="4FB5D7CA" w:rsidTr="00625C0B">
        <w:tc>
          <w:tcPr>
            <w:tcW w:w="3236" w:type="dxa"/>
            <w:vAlign w:val="bottom"/>
          </w:tcPr>
          <w:p w14:paraId="3C30F208" w14:textId="77777777" w:rsidR="00625C0B" w:rsidRPr="00552CEE" w:rsidRDefault="00625C0B" w:rsidP="004F450F">
            <w:r w:rsidRPr="00552CEE">
              <w:t>Cash flow from project to SO</w:t>
            </w:r>
          </w:p>
        </w:tc>
        <w:tc>
          <w:tcPr>
            <w:tcW w:w="1476" w:type="dxa"/>
            <w:gridSpan w:val="2"/>
          </w:tcPr>
          <w:p w14:paraId="3CC1F65F" w14:textId="0E36F3B0" w:rsidR="00625C0B" w:rsidRPr="00552CEE" w:rsidRDefault="00625C0B" w:rsidP="004F450F">
            <w:pPr>
              <w:jc w:val="center"/>
            </w:pPr>
            <w:r w:rsidRPr="00552CEE">
              <w:t>0.51</w:t>
            </w:r>
          </w:p>
        </w:tc>
        <w:tc>
          <w:tcPr>
            <w:tcW w:w="1476" w:type="dxa"/>
            <w:gridSpan w:val="2"/>
          </w:tcPr>
          <w:p w14:paraId="78156FB4" w14:textId="367D18F0" w:rsidR="00625C0B" w:rsidRPr="00552CEE" w:rsidRDefault="00625C0B" w:rsidP="004F450F">
            <w:pPr>
              <w:jc w:val="center"/>
            </w:pPr>
            <w:r w:rsidRPr="00552CEE">
              <w:t>0.44</w:t>
            </w:r>
          </w:p>
        </w:tc>
        <w:tc>
          <w:tcPr>
            <w:tcW w:w="1477" w:type="dxa"/>
            <w:gridSpan w:val="2"/>
          </w:tcPr>
          <w:p w14:paraId="696B3A62" w14:textId="092041A0" w:rsidR="00625C0B" w:rsidRPr="00552CEE" w:rsidRDefault="00625C0B" w:rsidP="004F450F">
            <w:pPr>
              <w:jc w:val="center"/>
            </w:pPr>
            <w:r w:rsidRPr="00552CEE">
              <w:t>0.31</w:t>
            </w:r>
          </w:p>
        </w:tc>
        <w:tc>
          <w:tcPr>
            <w:tcW w:w="1361" w:type="dxa"/>
            <w:gridSpan w:val="2"/>
          </w:tcPr>
          <w:p w14:paraId="0E243F52" w14:textId="77777777" w:rsidR="00625C0B" w:rsidRPr="00552CEE" w:rsidRDefault="00625C0B" w:rsidP="004F450F">
            <w:pPr>
              <w:jc w:val="center"/>
            </w:pPr>
          </w:p>
        </w:tc>
      </w:tr>
      <w:tr w:rsidR="00625C0B" w:rsidRPr="00552CEE" w14:paraId="3BCE9D8F" w14:textId="1F9DE596" w:rsidTr="00625C0B">
        <w:tc>
          <w:tcPr>
            <w:tcW w:w="3236" w:type="dxa"/>
            <w:vAlign w:val="bottom"/>
          </w:tcPr>
          <w:p w14:paraId="433164C9" w14:textId="77777777" w:rsidR="00625C0B" w:rsidRPr="00552CEE" w:rsidRDefault="00625C0B" w:rsidP="004F450F">
            <w:r w:rsidRPr="00552CEE">
              <w:t>Public Sector loan servicing</w:t>
            </w:r>
          </w:p>
        </w:tc>
        <w:tc>
          <w:tcPr>
            <w:tcW w:w="1476" w:type="dxa"/>
            <w:gridSpan w:val="2"/>
          </w:tcPr>
          <w:p w14:paraId="58F4594C" w14:textId="769C107F" w:rsidR="00625C0B" w:rsidRPr="00552CEE" w:rsidRDefault="00625C0B" w:rsidP="004F450F">
            <w:pPr>
              <w:jc w:val="center"/>
            </w:pPr>
            <w:r w:rsidRPr="00552CEE">
              <w:t>0.33</w:t>
            </w:r>
          </w:p>
        </w:tc>
        <w:tc>
          <w:tcPr>
            <w:tcW w:w="1476" w:type="dxa"/>
            <w:gridSpan w:val="2"/>
          </w:tcPr>
          <w:p w14:paraId="31129020" w14:textId="7C20778F" w:rsidR="00625C0B" w:rsidRPr="00552CEE" w:rsidRDefault="00625C0B" w:rsidP="004F450F">
            <w:pPr>
              <w:jc w:val="center"/>
            </w:pPr>
            <w:r w:rsidRPr="00552CEE">
              <w:t>0.33</w:t>
            </w:r>
          </w:p>
        </w:tc>
        <w:tc>
          <w:tcPr>
            <w:tcW w:w="1477" w:type="dxa"/>
            <w:gridSpan w:val="2"/>
          </w:tcPr>
          <w:p w14:paraId="302FFB76" w14:textId="4AAE1E91" w:rsidR="00625C0B" w:rsidRPr="00552CEE" w:rsidRDefault="00625C0B" w:rsidP="004F450F">
            <w:pPr>
              <w:jc w:val="center"/>
            </w:pPr>
            <w:r w:rsidRPr="00552CEE">
              <w:t>0.0</w:t>
            </w:r>
          </w:p>
        </w:tc>
        <w:tc>
          <w:tcPr>
            <w:tcW w:w="1361" w:type="dxa"/>
            <w:gridSpan w:val="2"/>
          </w:tcPr>
          <w:p w14:paraId="077D7932" w14:textId="77777777" w:rsidR="00625C0B" w:rsidRPr="00552CEE" w:rsidRDefault="00625C0B" w:rsidP="004F450F">
            <w:pPr>
              <w:jc w:val="center"/>
            </w:pPr>
          </w:p>
        </w:tc>
      </w:tr>
      <w:tr w:rsidR="00625C0B" w:rsidRPr="00552CEE" w14:paraId="2AFAF956" w14:textId="739F3480" w:rsidTr="00625C0B">
        <w:trPr>
          <w:trHeight w:val="44"/>
        </w:trPr>
        <w:tc>
          <w:tcPr>
            <w:tcW w:w="3236" w:type="dxa"/>
            <w:vAlign w:val="bottom"/>
          </w:tcPr>
          <w:p w14:paraId="007F3991" w14:textId="77777777" w:rsidR="00625C0B" w:rsidRPr="00552CEE" w:rsidRDefault="00625C0B" w:rsidP="004F450F">
            <w:r w:rsidRPr="00552CEE">
              <w:t>Final SO income</w:t>
            </w:r>
          </w:p>
        </w:tc>
        <w:tc>
          <w:tcPr>
            <w:tcW w:w="1476" w:type="dxa"/>
            <w:gridSpan w:val="2"/>
          </w:tcPr>
          <w:p w14:paraId="2BD00F26" w14:textId="694DE48E" w:rsidR="00625C0B" w:rsidRPr="00552CEE" w:rsidRDefault="00625C0B" w:rsidP="004F450F">
            <w:pPr>
              <w:jc w:val="center"/>
            </w:pPr>
            <w:r w:rsidRPr="00552CEE">
              <w:t>0.11</w:t>
            </w:r>
          </w:p>
        </w:tc>
        <w:tc>
          <w:tcPr>
            <w:tcW w:w="1476" w:type="dxa"/>
            <w:gridSpan w:val="2"/>
          </w:tcPr>
          <w:p w14:paraId="67E1E35E" w14:textId="27D79EE5" w:rsidR="00625C0B" w:rsidRPr="00552CEE" w:rsidRDefault="00625C0B" w:rsidP="004F450F">
            <w:pPr>
              <w:jc w:val="center"/>
            </w:pPr>
            <w:r w:rsidRPr="00552CEE">
              <w:t>0.11</w:t>
            </w:r>
          </w:p>
        </w:tc>
        <w:tc>
          <w:tcPr>
            <w:tcW w:w="1477" w:type="dxa"/>
            <w:gridSpan w:val="2"/>
          </w:tcPr>
          <w:p w14:paraId="5FDC8C30" w14:textId="358244AF" w:rsidR="00625C0B" w:rsidRPr="00552CEE" w:rsidRDefault="00625C0B" w:rsidP="004F450F">
            <w:pPr>
              <w:jc w:val="center"/>
            </w:pPr>
            <w:r w:rsidRPr="00552CEE">
              <w:t>0.31</w:t>
            </w:r>
          </w:p>
        </w:tc>
        <w:tc>
          <w:tcPr>
            <w:tcW w:w="1361" w:type="dxa"/>
            <w:gridSpan w:val="2"/>
          </w:tcPr>
          <w:p w14:paraId="3DADFB53" w14:textId="77777777" w:rsidR="00625C0B" w:rsidRPr="00552CEE" w:rsidRDefault="00625C0B" w:rsidP="004F450F">
            <w:pPr>
              <w:jc w:val="center"/>
            </w:pPr>
          </w:p>
        </w:tc>
      </w:tr>
      <w:tr w:rsidR="00625C0B" w:rsidRPr="00552CEE" w14:paraId="7EB80F20" w14:textId="77777777" w:rsidTr="004E2AB3">
        <w:tc>
          <w:tcPr>
            <w:tcW w:w="3281" w:type="dxa"/>
            <w:gridSpan w:val="2"/>
            <w:vAlign w:val="bottom"/>
          </w:tcPr>
          <w:p w14:paraId="498A7903" w14:textId="77777777" w:rsidR="00625C0B" w:rsidRDefault="00625C0B" w:rsidP="00625C0B">
            <w:r>
              <w:t>Cumulative lifetime income</w:t>
            </w:r>
          </w:p>
          <w:p w14:paraId="4CD0E3BE" w14:textId="60514B38" w:rsidR="00625C0B" w:rsidRPr="00552CEE" w:rsidRDefault="00625C0B" w:rsidP="00625C0B">
            <w:r>
              <w:t>(30 years, undiscounted)</w:t>
            </w:r>
          </w:p>
        </w:tc>
        <w:tc>
          <w:tcPr>
            <w:tcW w:w="1466" w:type="dxa"/>
            <w:gridSpan w:val="2"/>
          </w:tcPr>
          <w:p w14:paraId="04BDD4BB" w14:textId="77777777" w:rsidR="00625C0B" w:rsidRPr="00552CEE" w:rsidRDefault="00625C0B" w:rsidP="004E2AB3">
            <w:pPr>
              <w:jc w:val="center"/>
            </w:pPr>
          </w:p>
        </w:tc>
        <w:tc>
          <w:tcPr>
            <w:tcW w:w="1466" w:type="dxa"/>
            <w:gridSpan w:val="2"/>
          </w:tcPr>
          <w:p w14:paraId="0196C235" w14:textId="77777777" w:rsidR="00625C0B" w:rsidRPr="00552CEE" w:rsidRDefault="00625C0B" w:rsidP="004E2AB3">
            <w:pPr>
              <w:jc w:val="center"/>
              <w:rPr>
                <w:color w:val="C00000" w:themeColor="accent4"/>
              </w:rPr>
            </w:pPr>
          </w:p>
        </w:tc>
        <w:tc>
          <w:tcPr>
            <w:tcW w:w="1467" w:type="dxa"/>
            <w:gridSpan w:val="2"/>
          </w:tcPr>
          <w:p w14:paraId="0FA52E8B" w14:textId="77777777" w:rsidR="00625C0B" w:rsidRPr="00552CEE" w:rsidRDefault="00625C0B" w:rsidP="004E2AB3">
            <w:pPr>
              <w:jc w:val="center"/>
            </w:pPr>
          </w:p>
        </w:tc>
        <w:tc>
          <w:tcPr>
            <w:tcW w:w="1346" w:type="dxa"/>
          </w:tcPr>
          <w:p w14:paraId="4EF74251" w14:textId="12A00681" w:rsidR="00625C0B" w:rsidRPr="00552CEE" w:rsidRDefault="00625C0B" w:rsidP="00625C0B">
            <w:pPr>
              <w:jc w:val="center"/>
            </w:pPr>
            <w:r>
              <w:t>5.3</w:t>
            </w:r>
          </w:p>
        </w:tc>
      </w:tr>
    </w:tbl>
    <w:p w14:paraId="17BB4758" w14:textId="77777777" w:rsidR="00F940BA" w:rsidRPr="00552CEE" w:rsidRDefault="00F940BA" w:rsidP="00F940BA"/>
    <w:p w14:paraId="6C660E28" w14:textId="3EB1EEC8" w:rsidR="00F940BA" w:rsidRPr="00552CEE" w:rsidRDefault="00F940BA" w:rsidP="00F940BA">
      <w:r w:rsidRPr="00552CEE">
        <w:t>However, the split-site model incurs a number of additional costs. These include variable costs such as land rental, business rates, insurance, and other operating expenses. They also include fixed costs, such as the cost of arranging initial financing, which can typically exceed £100,000.</w:t>
      </w:r>
    </w:p>
    <w:p w14:paraId="2618460D" w14:textId="3EAA5F8E" w:rsidR="00F940BA" w:rsidRPr="00552CEE" w:rsidRDefault="00F940BA" w:rsidP="00F940BA">
      <w:r w:rsidRPr="00552CEE">
        <w:lastRenderedPageBreak/>
        <w:t>The variable elements of these costs add approximately £11/kW to the costs that the SO organisation must cover. In this example, the fixed costs are modelled at £189,000 and are assumed to be funded through an increase in the loan size.</w:t>
      </w:r>
    </w:p>
    <w:p w14:paraId="304B1AB4" w14:textId="4F1682AC" w:rsidR="00F940BA" w:rsidRPr="00552CEE" w:rsidRDefault="00F940BA" w:rsidP="00F940BA">
      <w:r w:rsidRPr="00552CEE">
        <w:t>This results in:</w:t>
      </w:r>
    </w:p>
    <w:p w14:paraId="4C4C283B" w14:textId="688DB663" w:rsidR="00F940BA" w:rsidRPr="00552CEE" w:rsidRDefault="00F940BA" w:rsidP="00F940BA">
      <w:pPr>
        <w:pStyle w:val="ListParagraph"/>
        <w:numPr>
          <w:ilvl w:val="0"/>
          <w:numId w:val="42"/>
        </w:numPr>
      </w:pPr>
      <w:r w:rsidRPr="00552CEE">
        <w:t>Annual variable SO company costs of approximately £</w:t>
      </w:r>
      <w:r w:rsidR="00326DFF" w:rsidRPr="00552CEE">
        <w:t>11</w:t>
      </w:r>
      <w:r w:rsidR="00693779" w:rsidRPr="00552CEE">
        <w:t>9</w:t>
      </w:r>
      <w:r w:rsidRPr="00552CEE">
        <w:t>,000 per year</w:t>
      </w:r>
    </w:p>
    <w:p w14:paraId="26666383" w14:textId="68D99A91" w:rsidR="00F940BA" w:rsidRPr="00552CEE" w:rsidRDefault="00F940BA" w:rsidP="00F940BA">
      <w:pPr>
        <w:pStyle w:val="ListParagraph"/>
        <w:numPr>
          <w:ilvl w:val="0"/>
          <w:numId w:val="42"/>
        </w:numPr>
      </w:pPr>
      <w:r w:rsidRPr="00552CEE">
        <w:t>Additional debt servicing costs of around £11,000 per year for the duration of the public sector loan</w:t>
      </w:r>
    </w:p>
    <w:p w14:paraId="0ACBC7A1" w14:textId="13FF6FCA" w:rsidR="002351EA" w:rsidRPr="00552CEE" w:rsidRDefault="00F940BA" w:rsidP="00F940BA">
      <w:pPr>
        <w:rPr>
          <w:b/>
          <w:bCs/>
        </w:rPr>
      </w:pPr>
      <w:r w:rsidRPr="00552CEE">
        <w:rPr>
          <w:b/>
          <w:bCs/>
        </w:rPr>
        <w:t xml:space="preserve">These costs </w:t>
      </w:r>
      <w:r w:rsidR="00693779" w:rsidRPr="00552CEE">
        <w:rPr>
          <w:b/>
          <w:bCs/>
        </w:rPr>
        <w:t xml:space="preserve">remove the majority of the remaining SO profit </w:t>
      </w:r>
      <w:r w:rsidRPr="00552CEE">
        <w:rPr>
          <w:b/>
          <w:bCs/>
        </w:rPr>
        <w:t xml:space="preserve">shown in Table 18 above, suggesting that this case is unlikely to deliver </w:t>
      </w:r>
      <w:r w:rsidR="00800E67" w:rsidRPr="00552CEE">
        <w:rPr>
          <w:b/>
          <w:bCs/>
        </w:rPr>
        <w:t xml:space="preserve">meaningful </w:t>
      </w:r>
      <w:r w:rsidRPr="00552CEE">
        <w:rPr>
          <w:b/>
          <w:bCs/>
        </w:rPr>
        <w:t>net revenue to the SO organisation.</w:t>
      </w:r>
      <w:r w:rsidR="00DA5512" w:rsidRPr="00552CEE">
        <w:rPr>
          <w:b/>
          <w:bCs/>
        </w:rPr>
        <w:t xml:space="preserve"> </w:t>
      </w:r>
    </w:p>
    <w:p w14:paraId="2898DD75" w14:textId="77777777" w:rsidR="002351EA" w:rsidRPr="00552CEE" w:rsidRDefault="002351EA" w:rsidP="002351EA"/>
    <w:p w14:paraId="2A61B07D" w14:textId="69195311" w:rsidR="00DE6C92" w:rsidRPr="00552CEE" w:rsidRDefault="00DE6C92" w:rsidP="00624876"/>
    <w:sectPr w:rsidR="00DE6C92" w:rsidRPr="00552C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C10F" w14:textId="77777777" w:rsidR="005B42CA" w:rsidRDefault="005B42CA" w:rsidP="00503619">
      <w:pPr>
        <w:spacing w:after="0" w:line="240" w:lineRule="auto"/>
      </w:pPr>
      <w:r>
        <w:separator/>
      </w:r>
    </w:p>
  </w:endnote>
  <w:endnote w:type="continuationSeparator" w:id="0">
    <w:p w14:paraId="4056159D" w14:textId="77777777" w:rsidR="005B42CA" w:rsidRDefault="005B42CA" w:rsidP="00503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9688"/>
      <w:docPartObj>
        <w:docPartGallery w:val="Page Numbers (Bottom of Page)"/>
        <w:docPartUnique/>
      </w:docPartObj>
    </w:sdtPr>
    <w:sdtContent>
      <w:sdt>
        <w:sdtPr>
          <w:id w:val="-1705238520"/>
          <w:docPartObj>
            <w:docPartGallery w:val="Page Numbers (Top of Page)"/>
            <w:docPartUnique/>
          </w:docPartObj>
        </w:sdtPr>
        <w:sdtContent>
          <w:p w14:paraId="79BF632B" w14:textId="7A8C85B8" w:rsidR="00503619" w:rsidRDefault="00503619">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1B80315" w14:textId="77777777" w:rsidR="00503619" w:rsidRDefault="0050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EAD7" w14:textId="77777777" w:rsidR="005B42CA" w:rsidRDefault="005B42CA" w:rsidP="00503619">
      <w:pPr>
        <w:spacing w:after="0" w:line="240" w:lineRule="auto"/>
      </w:pPr>
      <w:r>
        <w:separator/>
      </w:r>
    </w:p>
  </w:footnote>
  <w:footnote w:type="continuationSeparator" w:id="0">
    <w:p w14:paraId="7B23175F" w14:textId="77777777" w:rsidR="005B42CA" w:rsidRDefault="005B42CA" w:rsidP="00503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46B2" w14:textId="0B22245C" w:rsidR="00144D1E" w:rsidRPr="008C276B" w:rsidRDefault="008C276B">
    <w:pPr>
      <w:pStyle w:val="Header"/>
      <w:rPr>
        <w:color w:val="4C5F76" w:themeColor="accent2"/>
        <w:lang w:val="en-US"/>
      </w:rPr>
    </w:pPr>
    <w:r>
      <w:rPr>
        <w:color w:val="4C5F76" w:themeColor="accent2"/>
        <w:lang w:val="en-US"/>
      </w:rPr>
      <w:t>Financial modelling for shared ownership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1C8"/>
    <w:multiLevelType w:val="hybridMultilevel"/>
    <w:tmpl w:val="CEBEDBF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34562E"/>
    <w:multiLevelType w:val="hybridMultilevel"/>
    <w:tmpl w:val="C082DB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46CC8"/>
    <w:multiLevelType w:val="hybridMultilevel"/>
    <w:tmpl w:val="ECB6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D4BD6"/>
    <w:multiLevelType w:val="hybridMultilevel"/>
    <w:tmpl w:val="4C26D16E"/>
    <w:lvl w:ilvl="0" w:tplc="154E98B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F0D69"/>
    <w:multiLevelType w:val="multilevel"/>
    <w:tmpl w:val="6F62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43D82"/>
    <w:multiLevelType w:val="hybridMultilevel"/>
    <w:tmpl w:val="EFEE0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D77CD"/>
    <w:multiLevelType w:val="multilevel"/>
    <w:tmpl w:val="29F06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144A5"/>
    <w:multiLevelType w:val="hybridMultilevel"/>
    <w:tmpl w:val="7E7CF46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944D30"/>
    <w:multiLevelType w:val="hybridMultilevel"/>
    <w:tmpl w:val="C9926E4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153F4ED0"/>
    <w:multiLevelType w:val="multilevel"/>
    <w:tmpl w:val="A8426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7B61C1"/>
    <w:multiLevelType w:val="hybridMultilevel"/>
    <w:tmpl w:val="DE06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13710"/>
    <w:multiLevelType w:val="hybridMultilevel"/>
    <w:tmpl w:val="4ED6F15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F9248F"/>
    <w:multiLevelType w:val="hybridMultilevel"/>
    <w:tmpl w:val="E59EA0F4"/>
    <w:lvl w:ilvl="0" w:tplc="C2864470">
      <w:start w:val="1"/>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13B9B"/>
    <w:multiLevelType w:val="hybridMultilevel"/>
    <w:tmpl w:val="F1C47F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F5EC8"/>
    <w:multiLevelType w:val="hybridMultilevel"/>
    <w:tmpl w:val="EB3888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1648FD"/>
    <w:multiLevelType w:val="multilevel"/>
    <w:tmpl w:val="8D4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252BA"/>
    <w:multiLevelType w:val="hybridMultilevel"/>
    <w:tmpl w:val="C0C00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31CC2"/>
    <w:multiLevelType w:val="hybridMultilevel"/>
    <w:tmpl w:val="D61A652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F103689"/>
    <w:multiLevelType w:val="hybridMultilevel"/>
    <w:tmpl w:val="EB2E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8C60F6"/>
    <w:multiLevelType w:val="multilevel"/>
    <w:tmpl w:val="FB80E3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920F7D"/>
    <w:multiLevelType w:val="hybridMultilevel"/>
    <w:tmpl w:val="A554F7B0"/>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382F3165"/>
    <w:multiLevelType w:val="hybridMultilevel"/>
    <w:tmpl w:val="6EA89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A227163"/>
    <w:multiLevelType w:val="hybridMultilevel"/>
    <w:tmpl w:val="79705A2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EE16FAD"/>
    <w:multiLevelType w:val="multilevel"/>
    <w:tmpl w:val="2DBE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07AF2"/>
    <w:multiLevelType w:val="hybridMultilevel"/>
    <w:tmpl w:val="AF92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853BCD"/>
    <w:multiLevelType w:val="hybridMultilevel"/>
    <w:tmpl w:val="BAA02A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CC311D"/>
    <w:multiLevelType w:val="hybridMultilevel"/>
    <w:tmpl w:val="8FE26C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644EB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4A432D1B"/>
    <w:multiLevelType w:val="hybridMultilevel"/>
    <w:tmpl w:val="258A7D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A5122A"/>
    <w:multiLevelType w:val="multilevel"/>
    <w:tmpl w:val="16F2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A601A5"/>
    <w:multiLevelType w:val="hybridMultilevel"/>
    <w:tmpl w:val="698CBE2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1" w15:restartNumberingAfterBreak="0">
    <w:nsid w:val="4F1B05A7"/>
    <w:multiLevelType w:val="hybridMultilevel"/>
    <w:tmpl w:val="0E820E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165C06"/>
    <w:multiLevelType w:val="hybridMultilevel"/>
    <w:tmpl w:val="5B9ABF2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7081A98"/>
    <w:multiLevelType w:val="hybridMultilevel"/>
    <w:tmpl w:val="BA0C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F5172A"/>
    <w:multiLevelType w:val="multilevel"/>
    <w:tmpl w:val="A222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0203A7"/>
    <w:multiLevelType w:val="hybridMultilevel"/>
    <w:tmpl w:val="A8C2AC3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C060A0A"/>
    <w:multiLevelType w:val="multilevel"/>
    <w:tmpl w:val="B524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283D41"/>
    <w:multiLevelType w:val="hybridMultilevel"/>
    <w:tmpl w:val="6870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BA2163"/>
    <w:multiLevelType w:val="hybridMultilevel"/>
    <w:tmpl w:val="F4CA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877C87"/>
    <w:multiLevelType w:val="hybridMultilevel"/>
    <w:tmpl w:val="123496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FA29F4"/>
    <w:multiLevelType w:val="hybridMultilevel"/>
    <w:tmpl w:val="FD3212F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2FD624D"/>
    <w:multiLevelType w:val="hybridMultilevel"/>
    <w:tmpl w:val="D9FE709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85B3E48"/>
    <w:multiLevelType w:val="hybridMultilevel"/>
    <w:tmpl w:val="36E6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407D60"/>
    <w:multiLevelType w:val="hybridMultilevel"/>
    <w:tmpl w:val="3F36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7C7E93"/>
    <w:multiLevelType w:val="multilevel"/>
    <w:tmpl w:val="C374B7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896CD9"/>
    <w:multiLevelType w:val="hybridMultilevel"/>
    <w:tmpl w:val="239EB4F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F130620"/>
    <w:multiLevelType w:val="hybridMultilevel"/>
    <w:tmpl w:val="F7E6E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F5F55E1"/>
    <w:multiLevelType w:val="hybridMultilevel"/>
    <w:tmpl w:val="360A92E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3570E9C"/>
    <w:multiLevelType w:val="multilevel"/>
    <w:tmpl w:val="3C12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A03F89"/>
    <w:multiLevelType w:val="hybridMultilevel"/>
    <w:tmpl w:val="5C522B5E"/>
    <w:lvl w:ilvl="0" w:tplc="C2864470">
      <w:start w:val="1"/>
      <w:numFmt w:val="bullet"/>
      <w:lvlText w:val="-"/>
      <w:lvlJc w:val="left"/>
      <w:pPr>
        <w:ind w:left="787" w:hanging="360"/>
      </w:pPr>
      <w:rPr>
        <w:rFonts w:ascii="Gill Sans MT" w:eastAsiaTheme="minorHAnsi" w:hAnsi="Gill Sans MT" w:cstheme="minorBidi"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0" w15:restartNumberingAfterBreak="0">
    <w:nsid w:val="7C1803D3"/>
    <w:multiLevelType w:val="multilevel"/>
    <w:tmpl w:val="CA70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10522">
    <w:abstractNumId w:val="27"/>
  </w:num>
  <w:num w:numId="2" w16cid:durableId="670184121">
    <w:abstractNumId w:val="5"/>
  </w:num>
  <w:num w:numId="3" w16cid:durableId="313067956">
    <w:abstractNumId w:val="1"/>
  </w:num>
  <w:num w:numId="4" w16cid:durableId="930161771">
    <w:abstractNumId w:val="28"/>
  </w:num>
  <w:num w:numId="5" w16cid:durableId="1790397870">
    <w:abstractNumId w:val="12"/>
  </w:num>
  <w:num w:numId="6" w16cid:durableId="1088771580">
    <w:abstractNumId w:val="49"/>
  </w:num>
  <w:num w:numId="7" w16cid:durableId="663633552">
    <w:abstractNumId w:val="30"/>
  </w:num>
  <w:num w:numId="8" w16cid:durableId="936793776">
    <w:abstractNumId w:val="43"/>
  </w:num>
  <w:num w:numId="9" w16cid:durableId="451443332">
    <w:abstractNumId w:val="38"/>
  </w:num>
  <w:num w:numId="10" w16cid:durableId="576596624">
    <w:abstractNumId w:val="13"/>
  </w:num>
  <w:num w:numId="11" w16cid:durableId="1491755116">
    <w:abstractNumId w:val="33"/>
  </w:num>
  <w:num w:numId="12" w16cid:durableId="1528567595">
    <w:abstractNumId w:val="46"/>
  </w:num>
  <w:num w:numId="13" w16cid:durableId="1918711658">
    <w:abstractNumId w:val="47"/>
  </w:num>
  <w:num w:numId="14" w16cid:durableId="587544497">
    <w:abstractNumId w:val="31"/>
  </w:num>
  <w:num w:numId="15" w16cid:durableId="1192451329">
    <w:abstractNumId w:val="25"/>
  </w:num>
  <w:num w:numId="16" w16cid:durableId="1198197455">
    <w:abstractNumId w:val="9"/>
  </w:num>
  <w:num w:numId="17" w16cid:durableId="706763092">
    <w:abstractNumId w:val="19"/>
  </w:num>
  <w:num w:numId="18" w16cid:durableId="1225801332">
    <w:abstractNumId w:val="22"/>
  </w:num>
  <w:num w:numId="19" w16cid:durableId="1637301293">
    <w:abstractNumId w:val="29"/>
  </w:num>
  <w:num w:numId="20" w16cid:durableId="93789958">
    <w:abstractNumId w:val="34"/>
  </w:num>
  <w:num w:numId="21" w16cid:durableId="1677146558">
    <w:abstractNumId w:val="36"/>
  </w:num>
  <w:num w:numId="22" w16cid:durableId="495607696">
    <w:abstractNumId w:val="44"/>
  </w:num>
  <w:num w:numId="23" w16cid:durableId="560364058">
    <w:abstractNumId w:val="11"/>
  </w:num>
  <w:num w:numId="24" w16cid:durableId="1190606929">
    <w:abstractNumId w:val="17"/>
  </w:num>
  <w:num w:numId="25" w16cid:durableId="1067610922">
    <w:abstractNumId w:val="32"/>
  </w:num>
  <w:num w:numId="26" w16cid:durableId="975570092">
    <w:abstractNumId w:val="4"/>
  </w:num>
  <w:num w:numId="27" w16cid:durableId="483006516">
    <w:abstractNumId w:val="48"/>
  </w:num>
  <w:num w:numId="28" w16cid:durableId="43800000">
    <w:abstractNumId w:val="35"/>
  </w:num>
  <w:num w:numId="29" w16cid:durableId="1888296187">
    <w:abstractNumId w:val="0"/>
  </w:num>
  <w:num w:numId="30" w16cid:durableId="484515679">
    <w:abstractNumId w:val="15"/>
  </w:num>
  <w:num w:numId="31" w16cid:durableId="1336031792">
    <w:abstractNumId w:val="6"/>
  </w:num>
  <w:num w:numId="32" w16cid:durableId="778838147">
    <w:abstractNumId w:val="50"/>
  </w:num>
  <w:num w:numId="33" w16cid:durableId="405960369">
    <w:abstractNumId w:val="16"/>
  </w:num>
  <w:num w:numId="34" w16cid:durableId="650215034">
    <w:abstractNumId w:val="37"/>
  </w:num>
  <w:num w:numId="35" w16cid:durableId="1652755476">
    <w:abstractNumId w:val="10"/>
  </w:num>
  <w:num w:numId="36" w16cid:durableId="1484934561">
    <w:abstractNumId w:val="42"/>
  </w:num>
  <w:num w:numId="37" w16cid:durableId="285433928">
    <w:abstractNumId w:val="41"/>
  </w:num>
  <w:num w:numId="38" w16cid:durableId="1155486772">
    <w:abstractNumId w:val="14"/>
  </w:num>
  <w:num w:numId="39" w16cid:durableId="813451595">
    <w:abstractNumId w:val="3"/>
  </w:num>
  <w:num w:numId="40" w16cid:durableId="950209495">
    <w:abstractNumId w:val="45"/>
  </w:num>
  <w:num w:numId="41" w16cid:durableId="2034650257">
    <w:abstractNumId w:val="8"/>
  </w:num>
  <w:num w:numId="42" w16cid:durableId="808741788">
    <w:abstractNumId w:val="2"/>
  </w:num>
  <w:num w:numId="43" w16cid:durableId="2007973169">
    <w:abstractNumId w:val="24"/>
  </w:num>
  <w:num w:numId="44" w16cid:durableId="1665740357">
    <w:abstractNumId w:val="21"/>
  </w:num>
  <w:num w:numId="45" w16cid:durableId="1493061124">
    <w:abstractNumId w:val="23"/>
  </w:num>
  <w:num w:numId="46" w16cid:durableId="198785538">
    <w:abstractNumId w:val="18"/>
  </w:num>
  <w:num w:numId="47" w16cid:durableId="220479567">
    <w:abstractNumId w:val="39"/>
  </w:num>
  <w:num w:numId="48" w16cid:durableId="1905752914">
    <w:abstractNumId w:val="26"/>
  </w:num>
  <w:num w:numId="49" w16cid:durableId="230818776">
    <w:abstractNumId w:val="20"/>
  </w:num>
  <w:num w:numId="50" w16cid:durableId="868179410">
    <w:abstractNumId w:val="7"/>
  </w:num>
  <w:num w:numId="51" w16cid:durableId="10228952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A4"/>
    <w:rsid w:val="000023AF"/>
    <w:rsid w:val="000026C0"/>
    <w:rsid w:val="00003E84"/>
    <w:rsid w:val="00007609"/>
    <w:rsid w:val="00014EE9"/>
    <w:rsid w:val="00017526"/>
    <w:rsid w:val="00023C60"/>
    <w:rsid w:val="00025C38"/>
    <w:rsid w:val="00032505"/>
    <w:rsid w:val="0003326D"/>
    <w:rsid w:val="00033466"/>
    <w:rsid w:val="00036938"/>
    <w:rsid w:val="00040069"/>
    <w:rsid w:val="00042756"/>
    <w:rsid w:val="000441EA"/>
    <w:rsid w:val="00046302"/>
    <w:rsid w:val="00054E02"/>
    <w:rsid w:val="00056308"/>
    <w:rsid w:val="0005642B"/>
    <w:rsid w:val="00056782"/>
    <w:rsid w:val="00057B50"/>
    <w:rsid w:val="000604A4"/>
    <w:rsid w:val="000654E2"/>
    <w:rsid w:val="00075F0F"/>
    <w:rsid w:val="000810AB"/>
    <w:rsid w:val="00092B4E"/>
    <w:rsid w:val="00092F1E"/>
    <w:rsid w:val="000A3C52"/>
    <w:rsid w:val="000A4E98"/>
    <w:rsid w:val="000B27B4"/>
    <w:rsid w:val="000B4D3F"/>
    <w:rsid w:val="000B5142"/>
    <w:rsid w:val="000B59CE"/>
    <w:rsid w:val="000B6456"/>
    <w:rsid w:val="000B6D36"/>
    <w:rsid w:val="000C0851"/>
    <w:rsid w:val="000C4696"/>
    <w:rsid w:val="000C6F62"/>
    <w:rsid w:val="000E691A"/>
    <w:rsid w:val="000F2494"/>
    <w:rsid w:val="000F2EE8"/>
    <w:rsid w:val="000F31E7"/>
    <w:rsid w:val="000F4A0E"/>
    <w:rsid w:val="00106097"/>
    <w:rsid w:val="0010761D"/>
    <w:rsid w:val="00111718"/>
    <w:rsid w:val="00116768"/>
    <w:rsid w:val="00122C89"/>
    <w:rsid w:val="00123C97"/>
    <w:rsid w:val="00125FC9"/>
    <w:rsid w:val="00127D83"/>
    <w:rsid w:val="00144D1E"/>
    <w:rsid w:val="001508CC"/>
    <w:rsid w:val="00155E42"/>
    <w:rsid w:val="0015774F"/>
    <w:rsid w:val="0016239B"/>
    <w:rsid w:val="00166522"/>
    <w:rsid w:val="00166E76"/>
    <w:rsid w:val="00167319"/>
    <w:rsid w:val="00167E39"/>
    <w:rsid w:val="001714B8"/>
    <w:rsid w:val="00172712"/>
    <w:rsid w:val="0017645D"/>
    <w:rsid w:val="00180AD6"/>
    <w:rsid w:val="0018171C"/>
    <w:rsid w:val="00182010"/>
    <w:rsid w:val="00182A40"/>
    <w:rsid w:val="00183D95"/>
    <w:rsid w:val="00185C6D"/>
    <w:rsid w:val="00185DE0"/>
    <w:rsid w:val="001918EB"/>
    <w:rsid w:val="001A2245"/>
    <w:rsid w:val="001A26EE"/>
    <w:rsid w:val="001B02C6"/>
    <w:rsid w:val="001B3EDE"/>
    <w:rsid w:val="001B6A97"/>
    <w:rsid w:val="001B7D1B"/>
    <w:rsid w:val="001C3932"/>
    <w:rsid w:val="001D08A0"/>
    <w:rsid w:val="001D12A0"/>
    <w:rsid w:val="001D16A3"/>
    <w:rsid w:val="001D1C7F"/>
    <w:rsid w:val="001D2608"/>
    <w:rsid w:val="001E0D40"/>
    <w:rsid w:val="001E0E92"/>
    <w:rsid w:val="001E1B72"/>
    <w:rsid w:val="001E1C82"/>
    <w:rsid w:val="001E3D37"/>
    <w:rsid w:val="001F2AEF"/>
    <w:rsid w:val="001F5FAD"/>
    <w:rsid w:val="00204174"/>
    <w:rsid w:val="0021005B"/>
    <w:rsid w:val="00215F9B"/>
    <w:rsid w:val="0022098F"/>
    <w:rsid w:val="00226588"/>
    <w:rsid w:val="00227BA8"/>
    <w:rsid w:val="002351EA"/>
    <w:rsid w:val="002360A7"/>
    <w:rsid w:val="00240CBC"/>
    <w:rsid w:val="00242053"/>
    <w:rsid w:val="002422FD"/>
    <w:rsid w:val="002427FC"/>
    <w:rsid w:val="00243F0D"/>
    <w:rsid w:val="00244AD9"/>
    <w:rsid w:val="002451F5"/>
    <w:rsid w:val="00253252"/>
    <w:rsid w:val="002545EF"/>
    <w:rsid w:val="00254C80"/>
    <w:rsid w:val="00257236"/>
    <w:rsid w:val="00260E34"/>
    <w:rsid w:val="0026280B"/>
    <w:rsid w:val="00267A08"/>
    <w:rsid w:val="00272AD9"/>
    <w:rsid w:val="00284B62"/>
    <w:rsid w:val="002916AE"/>
    <w:rsid w:val="002A47E8"/>
    <w:rsid w:val="002B3230"/>
    <w:rsid w:val="002B57DE"/>
    <w:rsid w:val="002B7E29"/>
    <w:rsid w:val="002B7F1B"/>
    <w:rsid w:val="002C0891"/>
    <w:rsid w:val="002C694A"/>
    <w:rsid w:val="002D21FD"/>
    <w:rsid w:val="002E491D"/>
    <w:rsid w:val="002E5C84"/>
    <w:rsid w:val="002F454C"/>
    <w:rsid w:val="002F59E8"/>
    <w:rsid w:val="002F5A39"/>
    <w:rsid w:val="00303A5E"/>
    <w:rsid w:val="00304CC5"/>
    <w:rsid w:val="003068D4"/>
    <w:rsid w:val="00310B81"/>
    <w:rsid w:val="00311231"/>
    <w:rsid w:val="0031677C"/>
    <w:rsid w:val="00317E67"/>
    <w:rsid w:val="003220F2"/>
    <w:rsid w:val="00326DFF"/>
    <w:rsid w:val="00326ED8"/>
    <w:rsid w:val="003308BA"/>
    <w:rsid w:val="00332C44"/>
    <w:rsid w:val="0033598B"/>
    <w:rsid w:val="003431E7"/>
    <w:rsid w:val="00343AF3"/>
    <w:rsid w:val="00345BDB"/>
    <w:rsid w:val="00346188"/>
    <w:rsid w:val="00347562"/>
    <w:rsid w:val="00363B81"/>
    <w:rsid w:val="00367C84"/>
    <w:rsid w:val="00373EEC"/>
    <w:rsid w:val="0037680E"/>
    <w:rsid w:val="003816E6"/>
    <w:rsid w:val="003951BF"/>
    <w:rsid w:val="00395FCF"/>
    <w:rsid w:val="003A58DE"/>
    <w:rsid w:val="003B17BB"/>
    <w:rsid w:val="003C2FE7"/>
    <w:rsid w:val="003D563A"/>
    <w:rsid w:val="003E12C7"/>
    <w:rsid w:val="003E1E1C"/>
    <w:rsid w:val="003E6C6D"/>
    <w:rsid w:val="003E6EDF"/>
    <w:rsid w:val="003E71A9"/>
    <w:rsid w:val="003F1EB3"/>
    <w:rsid w:val="00405DE3"/>
    <w:rsid w:val="004119E1"/>
    <w:rsid w:val="00411FFB"/>
    <w:rsid w:val="00413C3B"/>
    <w:rsid w:val="00415ADF"/>
    <w:rsid w:val="00416AFA"/>
    <w:rsid w:val="004219F5"/>
    <w:rsid w:val="00424FF2"/>
    <w:rsid w:val="0042778B"/>
    <w:rsid w:val="00433E09"/>
    <w:rsid w:val="00434449"/>
    <w:rsid w:val="004345C0"/>
    <w:rsid w:val="0043492D"/>
    <w:rsid w:val="00437900"/>
    <w:rsid w:val="004444ED"/>
    <w:rsid w:val="004455A6"/>
    <w:rsid w:val="00450659"/>
    <w:rsid w:val="00451CA9"/>
    <w:rsid w:val="004535EA"/>
    <w:rsid w:val="00455B86"/>
    <w:rsid w:val="004575E0"/>
    <w:rsid w:val="00460E42"/>
    <w:rsid w:val="00465C78"/>
    <w:rsid w:val="00465CCD"/>
    <w:rsid w:val="00476988"/>
    <w:rsid w:val="00477B5C"/>
    <w:rsid w:val="00477D1A"/>
    <w:rsid w:val="004804E7"/>
    <w:rsid w:val="00481CF1"/>
    <w:rsid w:val="00487B53"/>
    <w:rsid w:val="00492A13"/>
    <w:rsid w:val="00493B82"/>
    <w:rsid w:val="00493C1D"/>
    <w:rsid w:val="00497852"/>
    <w:rsid w:val="004A1E20"/>
    <w:rsid w:val="004B1674"/>
    <w:rsid w:val="004C129F"/>
    <w:rsid w:val="004C16E7"/>
    <w:rsid w:val="004C2175"/>
    <w:rsid w:val="004D5375"/>
    <w:rsid w:val="004E089A"/>
    <w:rsid w:val="004F0633"/>
    <w:rsid w:val="004F1238"/>
    <w:rsid w:val="004F450F"/>
    <w:rsid w:val="004F56F6"/>
    <w:rsid w:val="00503619"/>
    <w:rsid w:val="00504B46"/>
    <w:rsid w:val="00514DE8"/>
    <w:rsid w:val="00515A29"/>
    <w:rsid w:val="00522395"/>
    <w:rsid w:val="0052241B"/>
    <w:rsid w:val="005244D1"/>
    <w:rsid w:val="00527220"/>
    <w:rsid w:val="00531C34"/>
    <w:rsid w:val="005338E4"/>
    <w:rsid w:val="005339D0"/>
    <w:rsid w:val="00534A3C"/>
    <w:rsid w:val="005366AE"/>
    <w:rsid w:val="00537CCF"/>
    <w:rsid w:val="00543297"/>
    <w:rsid w:val="00552CEE"/>
    <w:rsid w:val="0056046B"/>
    <w:rsid w:val="00560D8E"/>
    <w:rsid w:val="00563F59"/>
    <w:rsid w:val="00563F68"/>
    <w:rsid w:val="005644C4"/>
    <w:rsid w:val="00576BB8"/>
    <w:rsid w:val="005772C7"/>
    <w:rsid w:val="00581CC1"/>
    <w:rsid w:val="0058682E"/>
    <w:rsid w:val="00591300"/>
    <w:rsid w:val="005953E9"/>
    <w:rsid w:val="00597F8E"/>
    <w:rsid w:val="005A33EC"/>
    <w:rsid w:val="005B3284"/>
    <w:rsid w:val="005B42CA"/>
    <w:rsid w:val="005B4C59"/>
    <w:rsid w:val="005C0325"/>
    <w:rsid w:val="005C0A6C"/>
    <w:rsid w:val="005C19DF"/>
    <w:rsid w:val="005D21DA"/>
    <w:rsid w:val="005D60DB"/>
    <w:rsid w:val="005E387A"/>
    <w:rsid w:val="005E53E0"/>
    <w:rsid w:val="005F2EEF"/>
    <w:rsid w:val="005F5AE5"/>
    <w:rsid w:val="005F6D23"/>
    <w:rsid w:val="005F722E"/>
    <w:rsid w:val="005F75AA"/>
    <w:rsid w:val="00602B3C"/>
    <w:rsid w:val="00607E57"/>
    <w:rsid w:val="00611113"/>
    <w:rsid w:val="006124B6"/>
    <w:rsid w:val="0061334D"/>
    <w:rsid w:val="00615C8E"/>
    <w:rsid w:val="00615EE5"/>
    <w:rsid w:val="00624876"/>
    <w:rsid w:val="00624B5F"/>
    <w:rsid w:val="00625C0B"/>
    <w:rsid w:val="006260A0"/>
    <w:rsid w:val="00626917"/>
    <w:rsid w:val="00626AA7"/>
    <w:rsid w:val="00627296"/>
    <w:rsid w:val="00632087"/>
    <w:rsid w:val="0063327E"/>
    <w:rsid w:val="006369D0"/>
    <w:rsid w:val="006378A2"/>
    <w:rsid w:val="00637B9B"/>
    <w:rsid w:val="00640693"/>
    <w:rsid w:val="00653DA5"/>
    <w:rsid w:val="00655572"/>
    <w:rsid w:val="0066085D"/>
    <w:rsid w:val="00660B17"/>
    <w:rsid w:val="00660C14"/>
    <w:rsid w:val="00661A15"/>
    <w:rsid w:val="00662968"/>
    <w:rsid w:val="0066311F"/>
    <w:rsid w:val="00663D55"/>
    <w:rsid w:val="006642D1"/>
    <w:rsid w:val="00665432"/>
    <w:rsid w:val="00667C32"/>
    <w:rsid w:val="006836A2"/>
    <w:rsid w:val="00685814"/>
    <w:rsid w:val="00685E22"/>
    <w:rsid w:val="006916B0"/>
    <w:rsid w:val="00693779"/>
    <w:rsid w:val="00693929"/>
    <w:rsid w:val="006A65EB"/>
    <w:rsid w:val="006A6A7C"/>
    <w:rsid w:val="006D23FC"/>
    <w:rsid w:val="006D7A9A"/>
    <w:rsid w:val="006E0A37"/>
    <w:rsid w:val="006F5978"/>
    <w:rsid w:val="006F6FEB"/>
    <w:rsid w:val="006F71F0"/>
    <w:rsid w:val="0070177A"/>
    <w:rsid w:val="00710FC3"/>
    <w:rsid w:val="007167B3"/>
    <w:rsid w:val="00716859"/>
    <w:rsid w:val="00716A9B"/>
    <w:rsid w:val="0072212A"/>
    <w:rsid w:val="00723A2E"/>
    <w:rsid w:val="007269B5"/>
    <w:rsid w:val="00727AB0"/>
    <w:rsid w:val="007455D1"/>
    <w:rsid w:val="00745B59"/>
    <w:rsid w:val="00747B18"/>
    <w:rsid w:val="00755122"/>
    <w:rsid w:val="00760FB3"/>
    <w:rsid w:val="00761B5C"/>
    <w:rsid w:val="00775E97"/>
    <w:rsid w:val="007765B6"/>
    <w:rsid w:val="00785D66"/>
    <w:rsid w:val="00791A7B"/>
    <w:rsid w:val="00793860"/>
    <w:rsid w:val="00793AE2"/>
    <w:rsid w:val="007A609E"/>
    <w:rsid w:val="007B031A"/>
    <w:rsid w:val="007B54FF"/>
    <w:rsid w:val="007B64C1"/>
    <w:rsid w:val="007C2E85"/>
    <w:rsid w:val="007D76E1"/>
    <w:rsid w:val="007E66F4"/>
    <w:rsid w:val="007E74D2"/>
    <w:rsid w:val="007F12B4"/>
    <w:rsid w:val="007F1AB4"/>
    <w:rsid w:val="007F4D6D"/>
    <w:rsid w:val="007F6BC6"/>
    <w:rsid w:val="007F6BD9"/>
    <w:rsid w:val="007F7CFC"/>
    <w:rsid w:val="00800E67"/>
    <w:rsid w:val="00805FD0"/>
    <w:rsid w:val="00812D76"/>
    <w:rsid w:val="00815569"/>
    <w:rsid w:val="008165A0"/>
    <w:rsid w:val="00817810"/>
    <w:rsid w:val="00817DBE"/>
    <w:rsid w:val="00822191"/>
    <w:rsid w:val="00827023"/>
    <w:rsid w:val="00830826"/>
    <w:rsid w:val="00834843"/>
    <w:rsid w:val="00834DC7"/>
    <w:rsid w:val="00840DAD"/>
    <w:rsid w:val="00851586"/>
    <w:rsid w:val="008533D8"/>
    <w:rsid w:val="008557C5"/>
    <w:rsid w:val="008651BA"/>
    <w:rsid w:val="008729EF"/>
    <w:rsid w:val="00876A0A"/>
    <w:rsid w:val="00877544"/>
    <w:rsid w:val="00880C65"/>
    <w:rsid w:val="008818E0"/>
    <w:rsid w:val="00882B49"/>
    <w:rsid w:val="00883057"/>
    <w:rsid w:val="00884EC4"/>
    <w:rsid w:val="00887B1F"/>
    <w:rsid w:val="00890DB5"/>
    <w:rsid w:val="00894317"/>
    <w:rsid w:val="008A33EF"/>
    <w:rsid w:val="008A4606"/>
    <w:rsid w:val="008B44BE"/>
    <w:rsid w:val="008B49DB"/>
    <w:rsid w:val="008B5DF3"/>
    <w:rsid w:val="008B700E"/>
    <w:rsid w:val="008B780B"/>
    <w:rsid w:val="008C0C1E"/>
    <w:rsid w:val="008C1BDE"/>
    <w:rsid w:val="008C276B"/>
    <w:rsid w:val="008D1E23"/>
    <w:rsid w:val="008F51B2"/>
    <w:rsid w:val="00901A96"/>
    <w:rsid w:val="009026F8"/>
    <w:rsid w:val="00904358"/>
    <w:rsid w:val="00912016"/>
    <w:rsid w:val="0091405D"/>
    <w:rsid w:val="0091450B"/>
    <w:rsid w:val="0092292C"/>
    <w:rsid w:val="009267E8"/>
    <w:rsid w:val="0093484B"/>
    <w:rsid w:val="00934AF0"/>
    <w:rsid w:val="00934B18"/>
    <w:rsid w:val="00940A4A"/>
    <w:rsid w:val="009478CE"/>
    <w:rsid w:val="00957171"/>
    <w:rsid w:val="00961745"/>
    <w:rsid w:val="00966215"/>
    <w:rsid w:val="00972191"/>
    <w:rsid w:val="0097306C"/>
    <w:rsid w:val="009824FA"/>
    <w:rsid w:val="00982AA9"/>
    <w:rsid w:val="009914ED"/>
    <w:rsid w:val="00996227"/>
    <w:rsid w:val="009A1411"/>
    <w:rsid w:val="009A1929"/>
    <w:rsid w:val="009A4413"/>
    <w:rsid w:val="009A6FC6"/>
    <w:rsid w:val="009B4570"/>
    <w:rsid w:val="009B4A74"/>
    <w:rsid w:val="009C1E59"/>
    <w:rsid w:val="009C6DC4"/>
    <w:rsid w:val="009D5239"/>
    <w:rsid w:val="009E45EA"/>
    <w:rsid w:val="009E4B3C"/>
    <w:rsid w:val="009E4B72"/>
    <w:rsid w:val="009E7BB8"/>
    <w:rsid w:val="009F3D2D"/>
    <w:rsid w:val="009F4ACA"/>
    <w:rsid w:val="009F78F2"/>
    <w:rsid w:val="00A0244C"/>
    <w:rsid w:val="00A04052"/>
    <w:rsid w:val="00A05521"/>
    <w:rsid w:val="00A062E1"/>
    <w:rsid w:val="00A13CA0"/>
    <w:rsid w:val="00A2566C"/>
    <w:rsid w:val="00A256F7"/>
    <w:rsid w:val="00A347E0"/>
    <w:rsid w:val="00A355D7"/>
    <w:rsid w:val="00A4408F"/>
    <w:rsid w:val="00A44126"/>
    <w:rsid w:val="00A446D4"/>
    <w:rsid w:val="00A57D58"/>
    <w:rsid w:val="00A727DB"/>
    <w:rsid w:val="00A7290A"/>
    <w:rsid w:val="00A74751"/>
    <w:rsid w:val="00A81AA5"/>
    <w:rsid w:val="00A8338C"/>
    <w:rsid w:val="00A95308"/>
    <w:rsid w:val="00AA1D2E"/>
    <w:rsid w:val="00AA2418"/>
    <w:rsid w:val="00AB62EC"/>
    <w:rsid w:val="00AB6A5D"/>
    <w:rsid w:val="00AD6FD4"/>
    <w:rsid w:val="00AE3736"/>
    <w:rsid w:val="00AE4E33"/>
    <w:rsid w:val="00AE5C1B"/>
    <w:rsid w:val="00AE7374"/>
    <w:rsid w:val="00AF0E8F"/>
    <w:rsid w:val="00AF34A1"/>
    <w:rsid w:val="00AF5145"/>
    <w:rsid w:val="00AF64D2"/>
    <w:rsid w:val="00B06DE6"/>
    <w:rsid w:val="00B10C47"/>
    <w:rsid w:val="00B143BB"/>
    <w:rsid w:val="00B23270"/>
    <w:rsid w:val="00B252FD"/>
    <w:rsid w:val="00B306B0"/>
    <w:rsid w:val="00B308DD"/>
    <w:rsid w:val="00B34C4C"/>
    <w:rsid w:val="00B43BD8"/>
    <w:rsid w:val="00B461C1"/>
    <w:rsid w:val="00B47C91"/>
    <w:rsid w:val="00B53A49"/>
    <w:rsid w:val="00B53DEF"/>
    <w:rsid w:val="00B54659"/>
    <w:rsid w:val="00B56039"/>
    <w:rsid w:val="00B66966"/>
    <w:rsid w:val="00B76325"/>
    <w:rsid w:val="00B93A54"/>
    <w:rsid w:val="00B96D34"/>
    <w:rsid w:val="00B96E3F"/>
    <w:rsid w:val="00BA2A58"/>
    <w:rsid w:val="00BA359F"/>
    <w:rsid w:val="00BA672A"/>
    <w:rsid w:val="00BA7E70"/>
    <w:rsid w:val="00BB5CFF"/>
    <w:rsid w:val="00BB7016"/>
    <w:rsid w:val="00BB7AEE"/>
    <w:rsid w:val="00BB7E11"/>
    <w:rsid w:val="00BC44A0"/>
    <w:rsid w:val="00BC6D4C"/>
    <w:rsid w:val="00BD18AE"/>
    <w:rsid w:val="00BD2FFF"/>
    <w:rsid w:val="00BD3148"/>
    <w:rsid w:val="00BF1ACD"/>
    <w:rsid w:val="00BF27C2"/>
    <w:rsid w:val="00C046A8"/>
    <w:rsid w:val="00C04C79"/>
    <w:rsid w:val="00C15572"/>
    <w:rsid w:val="00C15A99"/>
    <w:rsid w:val="00C20049"/>
    <w:rsid w:val="00C31E87"/>
    <w:rsid w:val="00C34476"/>
    <w:rsid w:val="00C34CD7"/>
    <w:rsid w:val="00C3644A"/>
    <w:rsid w:val="00C364A4"/>
    <w:rsid w:val="00C368BD"/>
    <w:rsid w:val="00C36FE0"/>
    <w:rsid w:val="00C44875"/>
    <w:rsid w:val="00C630F4"/>
    <w:rsid w:val="00C6663A"/>
    <w:rsid w:val="00C666DB"/>
    <w:rsid w:val="00C67969"/>
    <w:rsid w:val="00C8187E"/>
    <w:rsid w:val="00C9200E"/>
    <w:rsid w:val="00C9375F"/>
    <w:rsid w:val="00C94D18"/>
    <w:rsid w:val="00C956C9"/>
    <w:rsid w:val="00CA4E7B"/>
    <w:rsid w:val="00CB09A6"/>
    <w:rsid w:val="00CB2B50"/>
    <w:rsid w:val="00CB71BD"/>
    <w:rsid w:val="00CD1F99"/>
    <w:rsid w:val="00CD4067"/>
    <w:rsid w:val="00CD7D42"/>
    <w:rsid w:val="00CE5414"/>
    <w:rsid w:val="00CE587D"/>
    <w:rsid w:val="00CE7B5F"/>
    <w:rsid w:val="00CF3925"/>
    <w:rsid w:val="00D03F02"/>
    <w:rsid w:val="00D0509E"/>
    <w:rsid w:val="00D1133B"/>
    <w:rsid w:val="00D11E86"/>
    <w:rsid w:val="00D140FE"/>
    <w:rsid w:val="00D151A4"/>
    <w:rsid w:val="00D158B3"/>
    <w:rsid w:val="00D15F8F"/>
    <w:rsid w:val="00D22F7E"/>
    <w:rsid w:val="00D2334D"/>
    <w:rsid w:val="00D2583A"/>
    <w:rsid w:val="00D2713D"/>
    <w:rsid w:val="00D33837"/>
    <w:rsid w:val="00D34280"/>
    <w:rsid w:val="00D52EEC"/>
    <w:rsid w:val="00D54689"/>
    <w:rsid w:val="00D56A68"/>
    <w:rsid w:val="00D56E08"/>
    <w:rsid w:val="00D67B89"/>
    <w:rsid w:val="00D70BBB"/>
    <w:rsid w:val="00D73351"/>
    <w:rsid w:val="00D7588B"/>
    <w:rsid w:val="00D81546"/>
    <w:rsid w:val="00D84B7A"/>
    <w:rsid w:val="00D92507"/>
    <w:rsid w:val="00D92542"/>
    <w:rsid w:val="00D95CAE"/>
    <w:rsid w:val="00D95DBB"/>
    <w:rsid w:val="00DA210B"/>
    <w:rsid w:val="00DA2C7F"/>
    <w:rsid w:val="00DA51D9"/>
    <w:rsid w:val="00DA5512"/>
    <w:rsid w:val="00DB4A98"/>
    <w:rsid w:val="00DB4E37"/>
    <w:rsid w:val="00DB7BB4"/>
    <w:rsid w:val="00DC23E4"/>
    <w:rsid w:val="00DC2821"/>
    <w:rsid w:val="00DC7D28"/>
    <w:rsid w:val="00DD11EA"/>
    <w:rsid w:val="00DE38B5"/>
    <w:rsid w:val="00DE6C92"/>
    <w:rsid w:val="00DF01B5"/>
    <w:rsid w:val="00DF1FCC"/>
    <w:rsid w:val="00DF3814"/>
    <w:rsid w:val="00E134DA"/>
    <w:rsid w:val="00E2311C"/>
    <w:rsid w:val="00E25223"/>
    <w:rsid w:val="00E25CDE"/>
    <w:rsid w:val="00E26931"/>
    <w:rsid w:val="00E26F82"/>
    <w:rsid w:val="00E30D0A"/>
    <w:rsid w:val="00E31D11"/>
    <w:rsid w:val="00E368E4"/>
    <w:rsid w:val="00E43FB3"/>
    <w:rsid w:val="00E4586D"/>
    <w:rsid w:val="00E45F79"/>
    <w:rsid w:val="00E474DF"/>
    <w:rsid w:val="00E528E8"/>
    <w:rsid w:val="00E544FE"/>
    <w:rsid w:val="00E65D1A"/>
    <w:rsid w:val="00E70B3B"/>
    <w:rsid w:val="00E71437"/>
    <w:rsid w:val="00E80D50"/>
    <w:rsid w:val="00E8304E"/>
    <w:rsid w:val="00E84FFA"/>
    <w:rsid w:val="00E8513B"/>
    <w:rsid w:val="00E86A7D"/>
    <w:rsid w:val="00E92986"/>
    <w:rsid w:val="00E964D9"/>
    <w:rsid w:val="00EA0C5A"/>
    <w:rsid w:val="00EA32BC"/>
    <w:rsid w:val="00EA3D87"/>
    <w:rsid w:val="00EA510B"/>
    <w:rsid w:val="00EB5DF0"/>
    <w:rsid w:val="00EC0BF0"/>
    <w:rsid w:val="00EC5451"/>
    <w:rsid w:val="00EC7072"/>
    <w:rsid w:val="00EC7E43"/>
    <w:rsid w:val="00ED40B0"/>
    <w:rsid w:val="00ED466B"/>
    <w:rsid w:val="00EE0043"/>
    <w:rsid w:val="00EE2AE7"/>
    <w:rsid w:val="00EE4B9D"/>
    <w:rsid w:val="00EE5B2D"/>
    <w:rsid w:val="00EF0C76"/>
    <w:rsid w:val="00EF15F6"/>
    <w:rsid w:val="00EF1977"/>
    <w:rsid w:val="00EF7080"/>
    <w:rsid w:val="00F00A79"/>
    <w:rsid w:val="00F00DCB"/>
    <w:rsid w:val="00F01D04"/>
    <w:rsid w:val="00F05988"/>
    <w:rsid w:val="00F06690"/>
    <w:rsid w:val="00F106F9"/>
    <w:rsid w:val="00F1292E"/>
    <w:rsid w:val="00F12B08"/>
    <w:rsid w:val="00F13766"/>
    <w:rsid w:val="00F138E4"/>
    <w:rsid w:val="00F240D7"/>
    <w:rsid w:val="00F31DCE"/>
    <w:rsid w:val="00F46DB2"/>
    <w:rsid w:val="00F503C4"/>
    <w:rsid w:val="00F5110E"/>
    <w:rsid w:val="00F531FE"/>
    <w:rsid w:val="00F549FB"/>
    <w:rsid w:val="00F65A66"/>
    <w:rsid w:val="00F715AB"/>
    <w:rsid w:val="00F84D91"/>
    <w:rsid w:val="00F85DF0"/>
    <w:rsid w:val="00F8669D"/>
    <w:rsid w:val="00F92256"/>
    <w:rsid w:val="00F926F4"/>
    <w:rsid w:val="00F9368E"/>
    <w:rsid w:val="00F940BA"/>
    <w:rsid w:val="00F960AF"/>
    <w:rsid w:val="00F961C8"/>
    <w:rsid w:val="00F970F9"/>
    <w:rsid w:val="00FA47F2"/>
    <w:rsid w:val="00FA7D68"/>
    <w:rsid w:val="00FB0FDE"/>
    <w:rsid w:val="00FB1C13"/>
    <w:rsid w:val="00FB2E80"/>
    <w:rsid w:val="00FB31E8"/>
    <w:rsid w:val="00FB3254"/>
    <w:rsid w:val="00FB7819"/>
    <w:rsid w:val="00FC457B"/>
    <w:rsid w:val="00FC6901"/>
    <w:rsid w:val="00FD70EC"/>
    <w:rsid w:val="00FE1B4E"/>
    <w:rsid w:val="00FE3AC5"/>
    <w:rsid w:val="00FE3FB6"/>
    <w:rsid w:val="00FF2C70"/>
    <w:rsid w:val="00FF731A"/>
    <w:rsid w:val="00FF7AD0"/>
    <w:rsid w:val="00FF7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DCC2"/>
  <w15:chartTrackingRefBased/>
  <w15:docId w15:val="{F85FFEC3-31D4-4253-B2A6-68F26713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4A4"/>
    <w:pPr>
      <w:keepNext/>
      <w:keepLines/>
      <w:numPr>
        <w:numId w:val="1"/>
      </w:numPr>
      <w:spacing w:before="360" w:after="80"/>
      <w:outlineLvl w:val="0"/>
    </w:pPr>
    <w:rPr>
      <w:rFonts w:asciiTheme="majorHAnsi" w:eastAsiaTheme="majorEastAsia" w:hAnsiTheme="majorHAnsi" w:cstheme="majorBidi"/>
      <w:color w:val="1F3B62" w:themeColor="accent1" w:themeShade="BF"/>
      <w:sz w:val="40"/>
      <w:szCs w:val="40"/>
    </w:rPr>
  </w:style>
  <w:style w:type="paragraph" w:styleId="Heading2">
    <w:name w:val="heading 2"/>
    <w:basedOn w:val="Normal"/>
    <w:next w:val="Normal"/>
    <w:link w:val="Heading2Char"/>
    <w:uiPriority w:val="9"/>
    <w:unhideWhenUsed/>
    <w:qFormat/>
    <w:rsid w:val="000604A4"/>
    <w:pPr>
      <w:keepNext/>
      <w:keepLines/>
      <w:numPr>
        <w:ilvl w:val="1"/>
        <w:numId w:val="1"/>
      </w:numPr>
      <w:spacing w:before="160" w:after="80"/>
      <w:ind w:left="576"/>
      <w:outlineLvl w:val="1"/>
    </w:pPr>
    <w:rPr>
      <w:rFonts w:asciiTheme="majorHAnsi" w:eastAsiaTheme="majorEastAsia" w:hAnsiTheme="majorHAnsi" w:cstheme="majorBidi"/>
      <w:color w:val="1F3B62" w:themeColor="accent1" w:themeShade="BF"/>
      <w:sz w:val="32"/>
      <w:szCs w:val="32"/>
    </w:rPr>
  </w:style>
  <w:style w:type="paragraph" w:styleId="Heading3">
    <w:name w:val="heading 3"/>
    <w:basedOn w:val="Normal"/>
    <w:next w:val="Normal"/>
    <w:link w:val="Heading3Char"/>
    <w:uiPriority w:val="9"/>
    <w:unhideWhenUsed/>
    <w:qFormat/>
    <w:rsid w:val="000604A4"/>
    <w:pPr>
      <w:keepNext/>
      <w:keepLines/>
      <w:numPr>
        <w:ilvl w:val="2"/>
        <w:numId w:val="1"/>
      </w:numPr>
      <w:spacing w:before="160" w:after="80"/>
      <w:outlineLvl w:val="2"/>
    </w:pPr>
    <w:rPr>
      <w:rFonts w:eastAsiaTheme="majorEastAsia" w:cstheme="majorBidi"/>
      <w:color w:val="1F3B62" w:themeColor="accent1" w:themeShade="BF"/>
      <w:sz w:val="28"/>
      <w:szCs w:val="28"/>
    </w:rPr>
  </w:style>
  <w:style w:type="paragraph" w:styleId="Heading4">
    <w:name w:val="heading 4"/>
    <w:basedOn w:val="Normal"/>
    <w:next w:val="Normal"/>
    <w:link w:val="Heading4Char"/>
    <w:uiPriority w:val="9"/>
    <w:unhideWhenUsed/>
    <w:qFormat/>
    <w:rsid w:val="000604A4"/>
    <w:pPr>
      <w:keepNext/>
      <w:keepLines/>
      <w:numPr>
        <w:ilvl w:val="3"/>
        <w:numId w:val="1"/>
      </w:numPr>
      <w:spacing w:before="80" w:after="40"/>
      <w:outlineLvl w:val="3"/>
    </w:pPr>
    <w:rPr>
      <w:rFonts w:eastAsiaTheme="majorEastAsia" w:cstheme="majorBidi"/>
      <w:i/>
      <w:iCs/>
      <w:color w:val="1F3B62" w:themeColor="accent1" w:themeShade="BF"/>
    </w:rPr>
  </w:style>
  <w:style w:type="paragraph" w:styleId="Heading5">
    <w:name w:val="heading 5"/>
    <w:basedOn w:val="Normal"/>
    <w:next w:val="Normal"/>
    <w:link w:val="Heading5Char"/>
    <w:uiPriority w:val="9"/>
    <w:semiHidden/>
    <w:unhideWhenUsed/>
    <w:qFormat/>
    <w:rsid w:val="000604A4"/>
    <w:pPr>
      <w:keepNext/>
      <w:keepLines/>
      <w:numPr>
        <w:ilvl w:val="4"/>
        <w:numId w:val="1"/>
      </w:numPr>
      <w:spacing w:before="80" w:after="40"/>
      <w:outlineLvl w:val="4"/>
    </w:pPr>
    <w:rPr>
      <w:rFonts w:eastAsiaTheme="majorEastAsia" w:cstheme="majorBidi"/>
      <w:color w:val="1F3B62" w:themeColor="accent1" w:themeShade="BF"/>
    </w:rPr>
  </w:style>
  <w:style w:type="paragraph" w:styleId="Heading6">
    <w:name w:val="heading 6"/>
    <w:basedOn w:val="Normal"/>
    <w:next w:val="Normal"/>
    <w:link w:val="Heading6Char"/>
    <w:uiPriority w:val="9"/>
    <w:semiHidden/>
    <w:unhideWhenUsed/>
    <w:qFormat/>
    <w:rsid w:val="000604A4"/>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4A4"/>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4A4"/>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4A4"/>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4A4"/>
    <w:rPr>
      <w:rFonts w:asciiTheme="majorHAnsi" w:eastAsiaTheme="majorEastAsia" w:hAnsiTheme="majorHAnsi" w:cstheme="majorBidi"/>
      <w:color w:val="1F3B62" w:themeColor="accent1" w:themeShade="BF"/>
      <w:sz w:val="40"/>
      <w:szCs w:val="40"/>
    </w:rPr>
  </w:style>
  <w:style w:type="character" w:customStyle="1" w:styleId="Heading2Char">
    <w:name w:val="Heading 2 Char"/>
    <w:basedOn w:val="DefaultParagraphFont"/>
    <w:link w:val="Heading2"/>
    <w:uiPriority w:val="9"/>
    <w:rsid w:val="000604A4"/>
    <w:rPr>
      <w:rFonts w:asciiTheme="majorHAnsi" w:eastAsiaTheme="majorEastAsia" w:hAnsiTheme="majorHAnsi" w:cstheme="majorBidi"/>
      <w:color w:val="1F3B62" w:themeColor="accent1" w:themeShade="BF"/>
      <w:sz w:val="32"/>
      <w:szCs w:val="32"/>
    </w:rPr>
  </w:style>
  <w:style w:type="character" w:customStyle="1" w:styleId="Heading3Char">
    <w:name w:val="Heading 3 Char"/>
    <w:basedOn w:val="DefaultParagraphFont"/>
    <w:link w:val="Heading3"/>
    <w:uiPriority w:val="9"/>
    <w:rsid w:val="000604A4"/>
    <w:rPr>
      <w:rFonts w:eastAsiaTheme="majorEastAsia" w:cstheme="majorBidi"/>
      <w:color w:val="1F3B62" w:themeColor="accent1" w:themeShade="BF"/>
      <w:sz w:val="28"/>
      <w:szCs w:val="28"/>
    </w:rPr>
  </w:style>
  <w:style w:type="character" w:customStyle="1" w:styleId="Heading4Char">
    <w:name w:val="Heading 4 Char"/>
    <w:basedOn w:val="DefaultParagraphFont"/>
    <w:link w:val="Heading4"/>
    <w:uiPriority w:val="9"/>
    <w:rsid w:val="000604A4"/>
    <w:rPr>
      <w:rFonts w:eastAsiaTheme="majorEastAsia" w:cstheme="majorBidi"/>
      <w:i/>
      <w:iCs/>
      <w:color w:val="1F3B62" w:themeColor="accent1" w:themeShade="BF"/>
    </w:rPr>
  </w:style>
  <w:style w:type="character" w:customStyle="1" w:styleId="Heading5Char">
    <w:name w:val="Heading 5 Char"/>
    <w:basedOn w:val="DefaultParagraphFont"/>
    <w:link w:val="Heading5"/>
    <w:uiPriority w:val="9"/>
    <w:semiHidden/>
    <w:rsid w:val="000604A4"/>
    <w:rPr>
      <w:rFonts w:eastAsiaTheme="majorEastAsia" w:cstheme="majorBidi"/>
      <w:color w:val="1F3B62" w:themeColor="accent1" w:themeShade="BF"/>
    </w:rPr>
  </w:style>
  <w:style w:type="character" w:customStyle="1" w:styleId="Heading6Char">
    <w:name w:val="Heading 6 Char"/>
    <w:basedOn w:val="DefaultParagraphFont"/>
    <w:link w:val="Heading6"/>
    <w:uiPriority w:val="9"/>
    <w:semiHidden/>
    <w:rsid w:val="00060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4A4"/>
    <w:rPr>
      <w:rFonts w:eastAsiaTheme="majorEastAsia" w:cstheme="majorBidi"/>
      <w:color w:val="272727" w:themeColor="text1" w:themeTint="D8"/>
    </w:rPr>
  </w:style>
  <w:style w:type="paragraph" w:styleId="Title">
    <w:name w:val="Title"/>
    <w:basedOn w:val="Normal"/>
    <w:next w:val="Normal"/>
    <w:link w:val="TitleChar"/>
    <w:uiPriority w:val="10"/>
    <w:qFormat/>
    <w:rsid w:val="00060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4A4"/>
    <w:pPr>
      <w:spacing w:before="160"/>
      <w:jc w:val="center"/>
    </w:pPr>
    <w:rPr>
      <w:i/>
      <w:iCs/>
      <w:color w:val="404040" w:themeColor="text1" w:themeTint="BF"/>
    </w:rPr>
  </w:style>
  <w:style w:type="character" w:customStyle="1" w:styleId="QuoteChar">
    <w:name w:val="Quote Char"/>
    <w:basedOn w:val="DefaultParagraphFont"/>
    <w:link w:val="Quote"/>
    <w:uiPriority w:val="29"/>
    <w:rsid w:val="000604A4"/>
    <w:rPr>
      <w:i/>
      <w:iCs/>
      <w:color w:val="404040" w:themeColor="text1" w:themeTint="BF"/>
    </w:rPr>
  </w:style>
  <w:style w:type="paragraph" w:styleId="ListParagraph">
    <w:name w:val="List Paragraph"/>
    <w:basedOn w:val="Normal"/>
    <w:uiPriority w:val="34"/>
    <w:qFormat/>
    <w:rsid w:val="000604A4"/>
    <w:pPr>
      <w:ind w:left="720"/>
      <w:contextualSpacing/>
    </w:pPr>
  </w:style>
  <w:style w:type="character" w:styleId="IntenseEmphasis">
    <w:name w:val="Intense Emphasis"/>
    <w:basedOn w:val="DefaultParagraphFont"/>
    <w:uiPriority w:val="21"/>
    <w:qFormat/>
    <w:rsid w:val="000604A4"/>
    <w:rPr>
      <w:i/>
      <w:iCs/>
      <w:color w:val="1F3B62" w:themeColor="accent1" w:themeShade="BF"/>
    </w:rPr>
  </w:style>
  <w:style w:type="paragraph" w:styleId="IntenseQuote">
    <w:name w:val="Intense Quote"/>
    <w:basedOn w:val="Normal"/>
    <w:next w:val="Normal"/>
    <w:link w:val="IntenseQuoteChar"/>
    <w:uiPriority w:val="30"/>
    <w:qFormat/>
    <w:rsid w:val="000604A4"/>
    <w:pPr>
      <w:pBdr>
        <w:top w:val="single" w:sz="4" w:space="10" w:color="1F3B62" w:themeColor="accent1" w:themeShade="BF"/>
        <w:bottom w:val="single" w:sz="4" w:space="10" w:color="1F3B62" w:themeColor="accent1" w:themeShade="BF"/>
      </w:pBdr>
      <w:spacing w:before="360" w:after="360"/>
      <w:ind w:left="864" w:right="864"/>
      <w:jc w:val="center"/>
    </w:pPr>
    <w:rPr>
      <w:i/>
      <w:iCs/>
      <w:color w:val="1F3B62" w:themeColor="accent1" w:themeShade="BF"/>
    </w:rPr>
  </w:style>
  <w:style w:type="character" w:customStyle="1" w:styleId="IntenseQuoteChar">
    <w:name w:val="Intense Quote Char"/>
    <w:basedOn w:val="DefaultParagraphFont"/>
    <w:link w:val="IntenseQuote"/>
    <w:uiPriority w:val="30"/>
    <w:rsid w:val="000604A4"/>
    <w:rPr>
      <w:i/>
      <w:iCs/>
      <w:color w:val="1F3B62" w:themeColor="accent1" w:themeShade="BF"/>
    </w:rPr>
  </w:style>
  <w:style w:type="character" w:styleId="IntenseReference">
    <w:name w:val="Intense Reference"/>
    <w:basedOn w:val="DefaultParagraphFont"/>
    <w:uiPriority w:val="32"/>
    <w:qFormat/>
    <w:rsid w:val="000604A4"/>
    <w:rPr>
      <w:b/>
      <w:bCs/>
      <w:smallCaps/>
      <w:color w:val="1F3B62" w:themeColor="accent1" w:themeShade="BF"/>
      <w:spacing w:val="5"/>
    </w:rPr>
  </w:style>
  <w:style w:type="paragraph" w:customStyle="1" w:styleId="ListinTable">
    <w:name w:val="List in Table"/>
    <w:basedOn w:val="ListParagraph"/>
    <w:link w:val="ListinTableChar"/>
    <w:qFormat/>
    <w:rsid w:val="003F1EB3"/>
    <w:pPr>
      <w:spacing w:after="0" w:line="259" w:lineRule="auto"/>
      <w:ind w:left="412" w:hanging="360"/>
      <w:contextualSpacing w:val="0"/>
    </w:pPr>
    <w:rPr>
      <w:rFonts w:eastAsiaTheme="minorEastAsia"/>
      <w:kern w:val="0"/>
      <w:sz w:val="18"/>
      <w:szCs w:val="18"/>
      <w:lang w:val="en-US"/>
      <w14:ligatures w14:val="none"/>
    </w:rPr>
  </w:style>
  <w:style w:type="character" w:customStyle="1" w:styleId="ListinTableChar">
    <w:name w:val="List in Table Char"/>
    <w:basedOn w:val="DefaultParagraphFont"/>
    <w:link w:val="ListinTable"/>
    <w:rsid w:val="003F1EB3"/>
    <w:rPr>
      <w:rFonts w:eastAsiaTheme="minorEastAsia"/>
      <w:kern w:val="0"/>
      <w:sz w:val="18"/>
      <w:szCs w:val="18"/>
      <w:lang w:val="en-US"/>
      <w14:ligatures w14:val="none"/>
    </w:rPr>
  </w:style>
  <w:style w:type="table" w:styleId="PlainTable2">
    <w:name w:val="Plain Table 2"/>
    <w:basedOn w:val="TableNormal"/>
    <w:uiPriority w:val="42"/>
    <w:rsid w:val="003F1EB3"/>
    <w:pPr>
      <w:spacing w:after="0" w:line="240" w:lineRule="auto"/>
    </w:pPr>
    <w:rPr>
      <w:rFonts w:eastAsiaTheme="minorEastAsia"/>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61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B6A5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03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619"/>
  </w:style>
  <w:style w:type="paragraph" w:styleId="Footer">
    <w:name w:val="footer"/>
    <w:basedOn w:val="Normal"/>
    <w:link w:val="FooterChar"/>
    <w:uiPriority w:val="99"/>
    <w:unhideWhenUsed/>
    <w:rsid w:val="00503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619"/>
  </w:style>
  <w:style w:type="character" w:styleId="CommentReference">
    <w:name w:val="annotation reference"/>
    <w:basedOn w:val="DefaultParagraphFont"/>
    <w:uiPriority w:val="99"/>
    <w:semiHidden/>
    <w:unhideWhenUsed/>
    <w:rsid w:val="0093484B"/>
    <w:rPr>
      <w:sz w:val="16"/>
      <w:szCs w:val="16"/>
    </w:rPr>
  </w:style>
  <w:style w:type="paragraph" w:styleId="CommentText">
    <w:name w:val="annotation text"/>
    <w:basedOn w:val="Normal"/>
    <w:link w:val="CommentTextChar"/>
    <w:uiPriority w:val="99"/>
    <w:unhideWhenUsed/>
    <w:rsid w:val="0093484B"/>
    <w:pPr>
      <w:spacing w:line="240" w:lineRule="auto"/>
    </w:pPr>
    <w:rPr>
      <w:sz w:val="20"/>
      <w:szCs w:val="20"/>
    </w:rPr>
  </w:style>
  <w:style w:type="character" w:customStyle="1" w:styleId="CommentTextChar">
    <w:name w:val="Comment Text Char"/>
    <w:basedOn w:val="DefaultParagraphFont"/>
    <w:link w:val="CommentText"/>
    <w:uiPriority w:val="99"/>
    <w:rsid w:val="0093484B"/>
    <w:rPr>
      <w:sz w:val="20"/>
      <w:szCs w:val="20"/>
    </w:rPr>
  </w:style>
  <w:style w:type="paragraph" w:styleId="CommentSubject">
    <w:name w:val="annotation subject"/>
    <w:basedOn w:val="CommentText"/>
    <w:next w:val="CommentText"/>
    <w:link w:val="CommentSubjectChar"/>
    <w:uiPriority w:val="99"/>
    <w:semiHidden/>
    <w:unhideWhenUsed/>
    <w:rsid w:val="0093484B"/>
    <w:rPr>
      <w:b/>
      <w:bCs/>
    </w:rPr>
  </w:style>
  <w:style w:type="character" w:customStyle="1" w:styleId="CommentSubjectChar">
    <w:name w:val="Comment Subject Char"/>
    <w:basedOn w:val="CommentTextChar"/>
    <w:link w:val="CommentSubject"/>
    <w:uiPriority w:val="99"/>
    <w:semiHidden/>
    <w:rsid w:val="0093484B"/>
    <w:rPr>
      <w:b/>
      <w:bCs/>
      <w:sz w:val="20"/>
      <w:szCs w:val="20"/>
    </w:rPr>
  </w:style>
  <w:style w:type="paragraph" w:styleId="NormalWeb">
    <w:name w:val="Normal (Web)"/>
    <w:basedOn w:val="Normal"/>
    <w:uiPriority w:val="99"/>
    <w:semiHidden/>
    <w:unhideWhenUsed/>
    <w:rsid w:val="004C217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93860"/>
    <w:rPr>
      <w:color w:val="0070C0" w:themeColor="hyperlink"/>
      <w:u w:val="single"/>
    </w:rPr>
  </w:style>
  <w:style w:type="character" w:styleId="UnresolvedMention">
    <w:name w:val="Unresolved Mention"/>
    <w:basedOn w:val="DefaultParagraphFont"/>
    <w:uiPriority w:val="99"/>
    <w:semiHidden/>
    <w:unhideWhenUsed/>
    <w:rsid w:val="00793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energylandscape.co.uk"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L - main">
  <a:themeElements>
    <a:clrScheme name="TEL core colour scheme">
      <a:dk1>
        <a:sysClr val="windowText" lastClr="000000"/>
      </a:dk1>
      <a:lt1>
        <a:sysClr val="window" lastClr="FFFFFF"/>
      </a:lt1>
      <a:dk2>
        <a:srgbClr val="44546A"/>
      </a:dk2>
      <a:lt2>
        <a:srgbClr val="E7E6E6"/>
      </a:lt2>
      <a:accent1>
        <a:srgbClr val="2A5084"/>
      </a:accent1>
      <a:accent2>
        <a:srgbClr val="4C5F76"/>
      </a:accent2>
      <a:accent3>
        <a:srgbClr val="F7A851"/>
      </a:accent3>
      <a:accent4>
        <a:srgbClr val="C00000"/>
      </a:accent4>
      <a:accent5>
        <a:srgbClr val="F46A03"/>
      </a:accent5>
      <a:accent6>
        <a:srgbClr val="697217"/>
      </a:accent6>
      <a:hlink>
        <a:srgbClr val="0070C0"/>
      </a:hlink>
      <a:folHlink>
        <a:srgbClr val="53813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3027fc-9693-4ec9-95d1-934ec0f69345">
      <Terms xmlns="http://schemas.microsoft.com/office/infopath/2007/PartnerControls"/>
    </lcf76f155ced4ddcb4097134ff3c332f>
    <Categories xmlns="0d3027fc-9693-4ec9-95d1-934ec0f69345" xsi:nil="true"/>
    <Keep_x003f_ xmlns="0d3027fc-9693-4ec9-95d1-934ec0f69345">true</Keep_x003f_>
    <Contenttype0 xmlns="0d3027fc-9693-4ec9-95d1-934ec0f69345" xsi:nil="true"/>
    <TaxCatchAll xmlns="ebd4fde2-92d8-49d0-aa91-e6051f6f05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23F53E9F8F7C44AC8008BF94AB2ADB" ma:contentTypeVersion="23" ma:contentTypeDescription="Create a new document." ma:contentTypeScope="" ma:versionID="a16c2948283133398c00b0201136e90d">
  <xsd:schema xmlns:xsd="http://www.w3.org/2001/XMLSchema" xmlns:xs="http://www.w3.org/2001/XMLSchema" xmlns:p="http://schemas.microsoft.com/office/2006/metadata/properties" xmlns:ns2="0d3027fc-9693-4ec9-95d1-934ec0f69345" xmlns:ns3="ebd4fde2-92d8-49d0-aa91-e6051f6f0581" targetNamespace="http://schemas.microsoft.com/office/2006/metadata/properties" ma:root="true" ma:fieldsID="18158ae9ef65a71dabdeb2c1ab4da90b" ns2:_="" ns3:_="">
    <xsd:import namespace="0d3027fc-9693-4ec9-95d1-934ec0f69345"/>
    <xsd:import namespace="ebd4fde2-92d8-49d0-aa91-e6051f6f0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Categories" minOccurs="0"/>
                <xsd:element ref="ns2:Contenttype0" minOccurs="0"/>
                <xsd:element ref="ns2:Keep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027fc-9693-4ec9-95d1-934ec0f69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5b4b86-2bc2-4f27-aec2-7ff2b1cbc5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tegories" ma:index="26" nillable="true" ma:displayName="Categories" ma:format="Dropdown" ma:internalName="Categories">
      <xsd:complexType>
        <xsd:complexContent>
          <xsd:extension base="dms:MultiChoice">
            <xsd:sequence>
              <xsd:element name="Value" maxOccurs="unbounded" minOccurs="0" nillable="true">
                <xsd:simpleType>
                  <xsd:restriction base="dms:Choice">
                    <xsd:enumeration value="Onshore wind energy"/>
                    <xsd:enumeration value="Planning for renewables"/>
                    <xsd:enumeration value="Policy updates and consultation responses"/>
                    <xsd:enumeration value="Regen comment"/>
                    <xsd:enumeration value="Storage and flex"/>
                    <xsd:enumeration value="Smart energy"/>
                    <xsd:enumeration value="Strategic decarbonisation studies"/>
                    <xsd:enumeration value="Zero carbon transport futures"/>
                    <xsd:enumeration value="Zero carbon heat &amp; the built environment"/>
                    <xsd:enumeration value="Strategic energy planning"/>
                    <xsd:enumeration value="Offshore renewable energy"/>
                    <xsd:enumeration value="Local authority guidance"/>
                    <xsd:enumeration value="Hydrogen and future of gas"/>
                    <xsd:enumeration value="Global climate change"/>
                    <xsd:enumeration value="Energy markets for net zero"/>
                    <xsd:enumeration value="Energy justice and just transitions"/>
                    <xsd:enumeration value="Energy innovation"/>
                    <xsd:enumeration value="Future scenarios"/>
                  </xsd:restriction>
                </xsd:simpleType>
              </xsd:element>
            </xsd:sequence>
          </xsd:extension>
        </xsd:complexContent>
      </xsd:complexType>
    </xsd:element>
    <xsd:element name="Contenttype0" ma:index="27" nillable="true" ma:displayName="Content type" ma:format="Dropdown" ma:internalName="Contenttype0">
      <xsd:simpleType>
        <xsd:restriction base="dms:Choice">
          <xsd:enumeration value="Publication"/>
          <xsd:enumeration value="Blog"/>
          <xsd:enumeration value="Event"/>
        </xsd:restriction>
      </xsd:simpleType>
    </xsd:element>
    <xsd:element name="Keep_x003f_" ma:index="28" nillable="true" ma:displayName="Add to website?" ma:default="1" ma:format="Dropdown" ma:internalName="Keep_x003f_">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d4fde2-92d8-49d0-aa91-e6051f6f05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8208dc-072f-4798-a404-4efb4973e115}" ma:internalName="TaxCatchAll" ma:showField="CatchAllData" ma:web="ebd4fde2-92d8-49d0-aa91-e6051f6f0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C644D-7C2B-4ABA-8966-A5303CDEEEB9}">
  <ds:schemaRefs>
    <ds:schemaRef ds:uri="http://schemas.openxmlformats.org/officeDocument/2006/bibliography"/>
  </ds:schemaRefs>
</ds:datastoreItem>
</file>

<file path=customXml/itemProps2.xml><?xml version="1.0" encoding="utf-8"?>
<ds:datastoreItem xmlns:ds="http://schemas.openxmlformats.org/officeDocument/2006/customXml" ds:itemID="{AD4D8E74-C6B5-4869-A409-90BB9E263398}">
  <ds:schemaRefs>
    <ds:schemaRef ds:uri="http://schemas.microsoft.com/office/2006/metadata/properties"/>
    <ds:schemaRef ds:uri="http://schemas.microsoft.com/office/infopath/2007/PartnerControls"/>
    <ds:schemaRef ds:uri="333d3cb0-47c3-42e5-8a38-a6af814abe75"/>
  </ds:schemaRefs>
</ds:datastoreItem>
</file>

<file path=customXml/itemProps3.xml><?xml version="1.0" encoding="utf-8"?>
<ds:datastoreItem xmlns:ds="http://schemas.openxmlformats.org/officeDocument/2006/customXml" ds:itemID="{D43310AD-127C-4367-BA7D-A283E10E2BD2}">
  <ds:schemaRefs>
    <ds:schemaRef ds:uri="http://schemas.microsoft.com/sharepoint/v3/contenttype/forms"/>
  </ds:schemaRefs>
</ds:datastoreItem>
</file>

<file path=customXml/itemProps4.xml><?xml version="1.0" encoding="utf-8"?>
<ds:datastoreItem xmlns:ds="http://schemas.openxmlformats.org/officeDocument/2006/customXml" ds:itemID="{96FA8644-3C7A-4F90-AC1E-80F107686470}"/>
</file>

<file path=docProps/app.xml><?xml version="1.0" encoding="utf-8"?>
<Properties xmlns="http://schemas.openxmlformats.org/officeDocument/2006/extended-properties" xmlns:vt="http://schemas.openxmlformats.org/officeDocument/2006/docPropsVTypes">
  <Template>Normal</Template>
  <TotalTime>0</TotalTime>
  <Pages>32</Pages>
  <Words>7698</Words>
  <Characters>43881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Gill</dc:creator>
  <cp:keywords/>
  <dc:description/>
  <cp:lastModifiedBy>Simon Gill</cp:lastModifiedBy>
  <cp:revision>8</cp:revision>
  <cp:lastPrinted>2026-05-05T14:20:00Z</cp:lastPrinted>
  <dcterms:created xsi:type="dcterms:W3CDTF">2026-05-05T14:19:00Z</dcterms:created>
  <dcterms:modified xsi:type="dcterms:W3CDTF">2026-05-05T14:24:00Z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0x0101008223F53E9F8F7C44AC8008BF94AB2ADB</vt:lpwstr>
  </property>
</Properties>
</file>