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 mid-December 2025 £50k funding was granted to the Climate Action Hub programme (‘the Hubs’) to investigate shared ownership of renewables to generate income. A </w:t>
      </w:r>
      <w:hyperlink r:id="rId6">
        <w:r w:rsidDel="00000000" w:rsidR="00000000" w:rsidRPr="00000000">
          <w:rPr>
            <w:color w:val="1155cc"/>
            <w:u w:val="single"/>
            <w:rtl w:val="0"/>
          </w:rPr>
          <w:t xml:space="preserve">consultancy brief</w:t>
        </w:r>
      </w:hyperlink>
      <w:r w:rsidDel="00000000" w:rsidR="00000000" w:rsidRPr="00000000">
        <w:rPr>
          <w:rtl w:val="0"/>
        </w:rPr>
        <w:t xml:space="preserve"> was distributed to find an organisation or coalition of organisations that would help achieve the goal: to significantly progress raising £10m/year via shared ownership.</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Development Funding Advisory Group was formed of Hub leaders who had already been engaging in this ‘national income generation’ space (led by East Lothian, including NESCAN, Highlands &amp; Islands, Edinburgh, and Forth Valley) to help craft the consultancy brief, assess and guide the resulting work, and make final recommendations. We received 3 quality submissions from major consultancy firms, and thirteen various offers of support and guidance on how we may endeavour on this work from individuals and supportive organisations. After a transparent and robust assessment and ranking, we went with a consortium led by Regen with support from Changeworks.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 this process, we also realised that there was aversion to directly funding the Hubs via shared ownership amongst communities and potential major organisational partners. This led to a realisation that it could affect our relationship with communities. This helped us evolve our goal: the Hubs can help generate income </w:t>
      </w:r>
      <w:r w:rsidDel="00000000" w:rsidR="00000000" w:rsidRPr="00000000">
        <w:rPr>
          <w:u w:val="single"/>
          <w:rtl w:val="0"/>
        </w:rPr>
        <w:t xml:space="preserve">for community climate action</w:t>
      </w:r>
      <w:r w:rsidDel="00000000" w:rsidR="00000000" w:rsidRPr="00000000">
        <w:rPr>
          <w:rtl w:val="0"/>
        </w:rPr>
        <w:t xml:space="preserve"> more generally.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There were also concerns amongst the group that raising income would mean that the Scottish Government would then remove the Hubs’ core funding. The strength of the Hubs is that they are grassroots, locally crafted, community-based organisations, while also provided a remit and light central oversight from the Scottish Government. A Hub programme without the Scottish Government funding, remit, and connections would not be as effective.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conclusions of the report indicated, regardless, that purchasing shared ownership of renewables is </w:t>
      </w:r>
      <w:r w:rsidDel="00000000" w:rsidR="00000000" w:rsidRPr="00000000">
        <w:rPr>
          <w:b w:val="1"/>
          <w:bCs w:val="1"/>
          <w:rtl w:val="0"/>
        </w:rPr>
        <w:t xml:space="preserve">not a ‘silver bullet’</w:t>
      </w:r>
      <w:r w:rsidDel="00000000" w:rsidR="00000000" w:rsidRPr="00000000">
        <w:rPr>
          <w:rtl w:val="0"/>
        </w:rPr>
        <w:t xml:space="preserve"> for income generation. This work does not represent short term income generation potential that would allow the Hubs to generate sufficient income at this stage. Unless we are able to influence policy so that e.g. a percentage of ownership of renewable projects is automatically awarded to communities to undertake climate action, as suggested by the </w:t>
      </w:r>
      <w:hyperlink r:id="rId7">
        <w:r w:rsidDel="00000000" w:rsidR="00000000" w:rsidRPr="00000000">
          <w:rPr>
            <w:color w:val="1155cc"/>
            <w:u w:val="single"/>
            <w:rtl w:val="0"/>
          </w:rPr>
          <w:t xml:space="preserve">Centre for Local Economies</w:t>
        </w:r>
      </w:hyperlink>
      <w:r w:rsidDel="00000000" w:rsidR="00000000" w:rsidRPr="00000000">
        <w:rPr>
          <w:rtl w:val="0"/>
        </w:rPr>
        <w:t xml:space="preserve"> (with some developers interested in this being distributed to communities via the National Climate Action Hub network, although </w:t>
      </w:r>
      <w:r w:rsidDel="00000000" w:rsidR="00000000" w:rsidRPr="00000000">
        <w:rPr>
          <w:i w:val="1"/>
          <w:iCs w:val="1"/>
          <w:rtl w:val="0"/>
        </w:rPr>
        <w:t xml:space="preserve">‘clarity on the resourcing of the Hubs beyond the current year would be necessary for negotiations with developers on specific projects’</w:t>
      </w:r>
      <w:r w:rsidDel="00000000" w:rsidR="00000000" w:rsidRPr="00000000">
        <w:rPr>
          <w:rtl w:val="0"/>
        </w:rPr>
        <w:t xml:space="preserve">), it is unlikely that income would be sufficient within 20 years. See section 3.3 ‘Shared Ownership cash flows – balance sheet’ of the ‘Shared Ownership Modelling Report’ document onwards, indicating that e.g. an investment of £31m includes a risk in the medium term of losing money when the CfD period runs out, and ultimately only results in a cumulative lifetime income (30 years, undiscounted) of £31m; about £54k per Hub per year.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It is now proposed that we pursue the following lines of enquiry: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Recommendations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Distribute our temporarily valuable findings to key stakeholders and hold an ‘unpacking’ workshop with our potential partners, wider stakeholders, and colleagues who may benefit from the research conducted, to help maintain key relationships, and continue building a positive reputation and willingness to assist those working at parallel purposes; to increase funding for communities to undertake climate action.</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Recruit a fractional Head of Income Generation for the Climate Hubs role to continue pursuing this line of enquiry, but broadening scope to include other possibilities, e.g. philanthropy, and to </w:t>
      </w:r>
    </w:p>
    <w:p w:rsidR="00000000" w:rsidDel="00000000" w:rsidP="00000000" w:rsidRDefault="00000000" w:rsidRPr="00000000" w14:paraId="00000012">
      <w:pPr>
        <w:numPr>
          <w:ilvl w:val="1"/>
          <w:numId w:val="2"/>
        </w:numPr>
        <w:ind w:left="1440" w:hanging="360"/>
      </w:pPr>
      <w:r w:rsidDel="00000000" w:rsidR="00000000" w:rsidRPr="00000000">
        <w:rPr>
          <w:rtl w:val="0"/>
        </w:rPr>
        <w:t xml:space="preserve">Conduct a brief independent assessment of Regen’s findings </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Investigate other ways that Hubs are trialling income generation to work towards a Community of Practice for this work, </w:t>
      </w:r>
      <w:r w:rsidDel="00000000" w:rsidR="00000000" w:rsidRPr="00000000">
        <w:rPr>
          <w:rtl w:val="0"/>
        </w:rPr>
        <w:t xml:space="preserve">working with the National Facilitator </w:t>
      </w:r>
      <w:r w:rsidDel="00000000" w:rsidR="00000000" w:rsidRPr="00000000">
        <w:rPr>
          <w:rtl w:val="0"/>
        </w:rPr>
      </w:r>
    </w:p>
    <w:p w:rsidR="00000000" w:rsidDel="00000000" w:rsidP="00000000" w:rsidRDefault="00000000" w:rsidRPr="00000000" w14:paraId="00000014">
      <w:pPr>
        <w:numPr>
          <w:ilvl w:val="1"/>
          <w:numId w:val="2"/>
        </w:numPr>
        <w:ind w:left="1440" w:hanging="360"/>
        <w:rPr>
          <w:u w:val="none"/>
        </w:rPr>
      </w:pPr>
      <w:r w:rsidDel="00000000" w:rsidR="00000000" w:rsidRPr="00000000">
        <w:rPr>
          <w:rtl w:val="0"/>
        </w:rPr>
        <w:t xml:space="preserve">Continue key stakeholder conversations with an expectation of future developments, including specifically identified pilot sites, an increased understanding of GB Energy’s Local Power Plan, and the UK and Scottish Government’s policies on mandating shared ownership (soon to be updated).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Develop a system for the Hubs to make mutual decisions to forge partnerships, and test the process to seek agreement to partner with organisations like Our Power (campaigning) and SCCAN (investigating Offtakers) in the first instance.</w:t>
      </w:r>
    </w:p>
    <w:p w:rsidR="00000000" w:rsidDel="00000000" w:rsidP="00000000" w:rsidRDefault="00000000" w:rsidRPr="00000000" w14:paraId="00000016">
      <w:pPr>
        <w:numPr>
          <w:ilvl w:val="1"/>
          <w:numId w:val="2"/>
        </w:numPr>
        <w:ind w:left="1440" w:hanging="360"/>
        <w:rPr/>
      </w:pPr>
      <w:r w:rsidDel="00000000" w:rsidR="00000000" w:rsidRPr="00000000">
        <w:rPr>
          <w:rtl w:val="0"/>
        </w:rPr>
        <w:t xml:space="preserve">Further develop policy influencing partnerships with Stop Climate Chaos Scotland (carbon reduction) and Scottish Environment LINK (nature restoration)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Further documents available on 9 June at </w:t>
      </w:r>
      <w:hyperlink r:id="rId8">
        <w:r w:rsidDel="00000000" w:rsidR="00000000" w:rsidRPr="00000000">
          <w:rPr>
            <w:color w:val="1155cc"/>
            <w:u w:val="single"/>
            <w:rtl w:val="0"/>
          </w:rPr>
          <w:t xml:space="preserve">https://eastlothianclimatehub.org/updates-and-news/</w:t>
        </w:r>
      </w:hyperlink>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2. Regen Final Workshop slides </w:t>
      </w:r>
    </w:p>
    <w:p w:rsidR="00000000" w:rsidDel="00000000" w:rsidP="00000000" w:rsidRDefault="00000000" w:rsidRPr="00000000" w14:paraId="0000001B">
      <w:pPr>
        <w:rPr/>
      </w:pPr>
      <w:r w:rsidDel="00000000" w:rsidR="00000000" w:rsidRPr="00000000">
        <w:rPr>
          <w:rtl w:val="0"/>
        </w:rPr>
        <w:t xml:space="preserve">3. Climate Hubs shared ownership evidence case </w:t>
      </w:r>
    </w:p>
    <w:p w:rsidR="00000000" w:rsidDel="00000000" w:rsidP="00000000" w:rsidRDefault="00000000" w:rsidRPr="00000000" w14:paraId="0000001C">
      <w:pPr>
        <w:rPr/>
      </w:pPr>
      <w:r w:rsidDel="00000000" w:rsidR="00000000" w:rsidRPr="00000000">
        <w:rPr>
          <w:rtl w:val="0"/>
        </w:rPr>
        <w:t xml:space="preserve">4. Regen Shared ownership modelling report </w:t>
      </w:r>
    </w:p>
    <w:p w:rsidR="00000000" w:rsidDel="00000000" w:rsidP="00000000" w:rsidRDefault="00000000" w:rsidRPr="00000000" w14:paraId="0000001D">
      <w:pPr>
        <w:rPr/>
      </w:pPr>
      <w:r w:rsidDel="00000000" w:rsidR="00000000" w:rsidRPr="00000000">
        <w:rPr>
          <w:rtl w:val="0"/>
        </w:rPr>
        <w:t xml:space="preserve">5. Regen Appendix - Onshore wind and solar pipeline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Author: Bobby Pembleton, East Lothian Climate Hub</w:t>
      </w:r>
    </w:p>
    <w:p w:rsidR="00000000" w:rsidDel="00000000" w:rsidP="00000000" w:rsidRDefault="00000000" w:rsidRPr="00000000" w14:paraId="00000021">
      <w:pPr>
        <w:rPr/>
      </w:pPr>
      <w:r w:rsidDel="00000000" w:rsidR="00000000" w:rsidRPr="00000000">
        <w:rPr>
          <w:rtl w:val="0"/>
        </w:rPr>
        <w:t xml:space="preserve">Document status: Distribution from 2 June 2026</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Scottish Government via Louisa Harvey</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Key Stakeholders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t xml:space="preserve">  </w:t>
    </w:r>
    <w:r w:rsidDel="00000000" w:rsidR="00000000" w:rsidRPr="00000000">
      <w:rPr/>
      <w:drawing>
        <wp:inline distB="114300" distT="114300" distL="114300" distR="114300">
          <wp:extent cx="1594047" cy="99627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4047" cy="996279"/>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76388" cy="888888"/>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6388" cy="8888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t xml:space="preserve">  </w:t>
    </w:r>
    <w:r w:rsidDel="00000000" w:rsidR="00000000" w:rsidRPr="00000000">
      <w:rPr/>
      <w:drawing>
        <wp:inline distB="114300" distT="114300" distL="114300" distR="114300">
          <wp:extent cx="1594047" cy="9962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4047" cy="996279"/>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76388" cy="888888"/>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6388" cy="88888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b w:val="1"/>
        <w:bCs w:val="1"/>
      </w:rPr>
    </w:pPr>
    <w:r w:rsidDel="00000000" w:rsidR="00000000" w:rsidRPr="00000000">
      <w:rPr>
        <w:b w:val="1"/>
        <w:bCs w:val="1"/>
        <w:rtl w:val="0"/>
      </w:rPr>
      <w:t xml:space="preserve">Income Generation for community climate action - Scotland’s Climate Hubs</w:t>
    </w:r>
  </w:p>
  <w:p w:rsidR="00000000" w:rsidDel="00000000" w:rsidP="00000000" w:rsidRDefault="00000000" w:rsidRPr="00000000" w14:paraId="00000026">
    <w:pPr>
      <w:rPr/>
    </w:pPr>
    <w:r w:rsidDel="00000000" w:rsidR="00000000" w:rsidRPr="00000000">
      <w:rPr>
        <w:b w:val="1"/>
        <w:bCs w:val="1"/>
        <w:rtl w:val="0"/>
      </w:rPr>
      <w:t xml:space="preserve">Stakeholder Update - June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astlothianclimatehub.org/work-with-the-climate-hubs-to-secure-the-financial-future-of-community-climate-action-in-scotland/" TargetMode="External"/><Relationship Id="rId7" Type="http://schemas.openxmlformats.org/officeDocument/2006/relationships/hyperlink" Target="https://cles.org.uk/news-events/give-scottish-communities-the-power-to-unlock-millions-from-onshore-wind-energy-urges-think-tank/" TargetMode="External"/><Relationship Id="rId8" Type="http://schemas.openxmlformats.org/officeDocument/2006/relationships/hyperlink" Target="https://eastlothianclimatehub.org/updates-and-new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